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4653"/>
      <w:bookmarkStart w:id="1" w:name="_Toc26602"/>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2CB1452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w:t>
      </w:r>
    </w:p>
    <w:p w14:paraId="2CDCEE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3.2</w:t>
      </w:r>
      <w:r>
        <w:rPr>
          <w:rFonts w:hint="eastAsia" w:ascii="仿宋_GB2312" w:hAnsi="仿宋_GB2312" w:eastAsia="仿宋_GB2312" w:cs="仿宋_GB2312"/>
          <w:color w:val="000000"/>
          <w:sz w:val="32"/>
          <w:szCs w:val="32"/>
          <w:shd w:val="clear" w:color="auto" w:fill="FFFFFF"/>
        </w:rPr>
        <w:t>）</w:t>
      </w:r>
    </w:p>
    <w:p w14:paraId="6787BEC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具有独立承担民事责任的能力，提供有效的营业执照副本、组织机构代码证、税务登记证（或三证合一证明文件）复印件。</w:t>
      </w:r>
    </w:p>
    <w:p w14:paraId="7A653DF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有依法缴纳税收和社会保障资金的良好记录，提供2023年或2024年任意一个月依法缴纳税收和社会保险的证明复印件。</w:t>
      </w:r>
    </w:p>
    <w:p w14:paraId="3832BD7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6、上岗人员具备</w:t>
      </w:r>
      <w:r>
        <w:rPr>
          <w:rFonts w:hint="eastAsia" w:ascii="仿宋" w:hAnsi="仿宋" w:eastAsia="仿宋" w:cs="仿宋"/>
          <w:b/>
          <w:color w:val="000000"/>
          <w:sz w:val="32"/>
          <w:szCs w:val="32"/>
          <w:highlight w:val="none"/>
        </w:rPr>
        <w:t>公安机关颁发的《保安员证》</w:t>
      </w:r>
      <w:r>
        <w:rPr>
          <w:rFonts w:hint="eastAsia" w:ascii="仿宋" w:hAnsi="仿宋" w:eastAsia="仿宋" w:cs="仿宋"/>
          <w:b/>
          <w:color w:val="000000"/>
          <w:sz w:val="32"/>
          <w:szCs w:val="32"/>
          <w:highlight w:val="none"/>
          <w:lang w:eastAsia="zh-CN"/>
        </w:rPr>
        <w:t>、</w:t>
      </w:r>
      <w:r>
        <w:rPr>
          <w:rFonts w:hint="eastAsia" w:ascii="仿宋" w:hAnsi="仿宋" w:eastAsia="仿宋" w:cs="仿宋"/>
          <w:b/>
          <w:bCs/>
          <w:color w:val="000000"/>
          <w:sz w:val="32"/>
          <w:szCs w:val="32"/>
          <w:highlight w:val="none"/>
        </w:rPr>
        <w:t>《消防设施操作员证》</w:t>
      </w:r>
      <w:r>
        <w:rPr>
          <w:rFonts w:hint="eastAsia" w:ascii="仿宋" w:hAnsi="仿宋" w:eastAsia="仿宋" w:cs="仿宋"/>
          <w:color w:val="000000"/>
          <w:sz w:val="32"/>
          <w:szCs w:val="32"/>
          <w:shd w:val="clear" w:color="auto" w:fill="FFFFFF"/>
          <w:lang w:val="en-US" w:eastAsia="zh-CN"/>
        </w:rPr>
        <w:t>，提供相关证件复印件。</w:t>
      </w:r>
    </w:p>
    <w:p w14:paraId="2EE171E7">
      <w:pPr>
        <w:pStyle w:val="6"/>
        <w:spacing w:line="530" w:lineRule="exact"/>
        <w:ind w:left="0" w:leftChars="0" w:firstLine="0" w:firstLineChars="0"/>
        <w:rPr>
          <w:rFonts w:hint="eastAsia" w:ascii="仿宋" w:hAnsi="仿宋" w:eastAsia="仿宋" w:cs="仿宋"/>
          <w:sz w:val="32"/>
          <w:szCs w:val="32"/>
          <w:highlight w:val="none"/>
        </w:rPr>
      </w:pP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sz w:val="32"/>
          <w:szCs w:val="32"/>
          <w:highlight w:val="none"/>
        </w:rPr>
        <w:t>负责提供进驻保安人员值勤所需的服装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雨具以及对讲机、警棍等。每个岗位就以上装备必须配备齐全(至少各一套)。</w:t>
      </w:r>
    </w:p>
    <w:p w14:paraId="59D5439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shd w:val="clear" w:color="auto" w:fill="FFFFFF"/>
          <w:lang w:val="en-US" w:eastAsia="zh-CN"/>
        </w:rPr>
        <w:t>8、</w:t>
      </w:r>
      <w:r>
        <w:rPr>
          <w:rFonts w:hint="eastAsia" w:ascii="仿宋" w:hAnsi="仿宋" w:eastAsia="仿宋" w:cs="仿宋"/>
          <w:color w:val="auto"/>
          <w:sz w:val="32"/>
          <w:szCs w:val="32"/>
          <w:highlight w:val="none"/>
        </w:rPr>
        <w:t>应委派</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名保安队长管理人员，做为派驻保卫工作的管理、协调人员，具体安排及全面督导每日</w:t>
      </w:r>
      <w:r>
        <w:rPr>
          <w:rFonts w:hint="eastAsia" w:ascii="仿宋" w:hAnsi="仿宋" w:eastAsia="仿宋" w:cs="仿宋"/>
          <w:color w:val="auto"/>
          <w:sz w:val="32"/>
          <w:szCs w:val="32"/>
          <w:highlight w:val="none"/>
          <w:lang w:eastAsia="zh-CN"/>
        </w:rPr>
        <w:t>安保</w:t>
      </w:r>
      <w:r>
        <w:rPr>
          <w:rFonts w:hint="eastAsia" w:ascii="仿宋" w:hAnsi="仿宋" w:eastAsia="仿宋" w:cs="仿宋"/>
          <w:color w:val="auto"/>
          <w:sz w:val="32"/>
          <w:szCs w:val="32"/>
          <w:highlight w:val="none"/>
        </w:rPr>
        <w:t>服务工作。</w:t>
      </w:r>
    </w:p>
    <w:p w14:paraId="501A470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lang w:val="en-US" w:eastAsia="zh-CN"/>
        </w:rPr>
        <w:t>9、</w:t>
      </w:r>
      <w:r>
        <w:rPr>
          <w:rFonts w:hint="eastAsia" w:ascii="仿宋" w:hAnsi="仿宋" w:eastAsia="仿宋" w:cs="仿宋"/>
          <w:sz w:val="32"/>
          <w:szCs w:val="32"/>
          <w:highlight w:val="none"/>
        </w:rPr>
        <w:t>从医院安全实际出发，须</w:t>
      </w:r>
      <w:r>
        <w:rPr>
          <w:rFonts w:hint="eastAsia" w:ascii="仿宋" w:hAnsi="仿宋" w:eastAsia="仿宋" w:cs="仿宋"/>
          <w:sz w:val="32"/>
          <w:szCs w:val="32"/>
          <w:highlight w:val="none"/>
          <w:lang w:eastAsia="zh-CN"/>
        </w:rPr>
        <w:t>服从医院</w:t>
      </w:r>
      <w:r>
        <w:rPr>
          <w:rFonts w:hint="eastAsia" w:ascii="仿宋" w:hAnsi="仿宋" w:eastAsia="仿宋" w:cs="仿宋"/>
          <w:sz w:val="32"/>
          <w:szCs w:val="32"/>
          <w:highlight w:val="none"/>
        </w:rPr>
        <w:t>开展在岗人员业务培训和紧急预案演练</w:t>
      </w:r>
      <w:r>
        <w:rPr>
          <w:rFonts w:hint="eastAsia" w:ascii="仿宋" w:hAnsi="仿宋" w:eastAsia="仿宋" w:cs="仿宋"/>
          <w:sz w:val="32"/>
          <w:szCs w:val="32"/>
          <w:highlight w:val="none"/>
          <w:lang w:eastAsia="zh-CN"/>
        </w:rPr>
        <w:t>，根据实际需要服从科室岗位及人员的调动安排</w:t>
      </w:r>
      <w:r>
        <w:rPr>
          <w:rFonts w:hint="eastAsia" w:ascii="仿宋" w:hAnsi="仿宋" w:eastAsia="仿宋" w:cs="仿宋"/>
          <w:sz w:val="32"/>
          <w:szCs w:val="32"/>
          <w:highlight w:val="none"/>
        </w:rPr>
        <w:t>。</w:t>
      </w:r>
    </w:p>
    <w:p w14:paraId="1BA7230E">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应建立健全内部管理制度、操作规程、应急处置方案预案，设立保安管理点主管，全面负责日常保安队伍的规范化管理。</w:t>
      </w:r>
    </w:p>
    <w:p w14:paraId="13C35B04">
      <w:pPr>
        <w:pStyle w:val="6"/>
        <w:spacing w:line="530" w:lineRule="exact"/>
        <w:ind w:left="0" w:leftChars="0" w:firstLine="0" w:firstLine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必须采取切实有效措施保持保安队伍的稳定和工作的连续性，一是严格控制非违纪人员轮换岗比例，合同期限内轮换岗保安人数不得超过合同编制的20%；二是保安队伍主要管理人员更换，应提前一个月以书面形式通知甲方保卫部门，其他队员更换要提前三天告知保卫部门，确保服务质量不因人员变动而受影响。</w:t>
      </w:r>
    </w:p>
    <w:p w14:paraId="5527DE2C">
      <w:pPr>
        <w:pStyle w:val="6"/>
        <w:spacing w:line="530" w:lineRule="exact"/>
        <w:ind w:left="0" w:leftChars="0" w:firstLine="0" w:firstLine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保安应聘、录用、离职等要求管理档案规范，手续齐全，相应资料必须报甲方保卫部门备案。</w:t>
      </w:r>
    </w:p>
    <w:p w14:paraId="1954DCCF">
      <w:pPr>
        <w:spacing w:line="530" w:lineRule="exact"/>
        <w:rPr>
          <w:rFonts w:hint="eastAsia" w:ascii="仿宋" w:hAnsi="仿宋" w:eastAsia="仿宋" w:cs="仿宋"/>
          <w:sz w:val="32"/>
          <w:szCs w:val="32"/>
        </w:rPr>
      </w:pPr>
      <w:r>
        <w:rPr>
          <w:rFonts w:hint="eastAsia" w:ascii="仿宋" w:hAnsi="仿宋" w:eastAsia="仿宋" w:cs="仿宋"/>
          <w:color w:val="000000"/>
          <w:sz w:val="32"/>
          <w:szCs w:val="32"/>
          <w:shd w:val="clear" w:color="auto" w:fill="FFFFFF"/>
          <w:lang w:val="en-US" w:eastAsia="zh-CN"/>
        </w:rPr>
        <w:t>13、</w:t>
      </w:r>
      <w:r>
        <w:rPr>
          <w:rFonts w:hint="eastAsia" w:ascii="仿宋" w:hAnsi="仿宋" w:eastAsia="仿宋" w:cs="仿宋"/>
          <w:sz w:val="32"/>
          <w:szCs w:val="32"/>
        </w:rPr>
        <w:t>维护</w:t>
      </w:r>
      <w:r>
        <w:rPr>
          <w:rFonts w:hint="eastAsia" w:ascii="仿宋" w:hAnsi="仿宋" w:eastAsia="仿宋" w:cs="仿宋"/>
          <w:sz w:val="32"/>
          <w:szCs w:val="32"/>
          <w:lang w:eastAsia="zh-CN"/>
        </w:rPr>
        <w:t>桂林市中医医院城北院区</w:t>
      </w:r>
      <w:r>
        <w:rPr>
          <w:rFonts w:hint="eastAsia" w:ascii="仿宋" w:hAnsi="仿宋" w:eastAsia="仿宋" w:cs="仿宋"/>
          <w:sz w:val="32"/>
          <w:szCs w:val="32"/>
        </w:rPr>
        <w:t>正常医疗秩序，保护医院财产安全，保护医务人员的人身安全，发生影响医院正常秩序和医患纠纷、治安事件时，及时进行调解和制止，防止事件扩大和升级。发生治安及医患纠纷事件时及时报告医院保卫科和公安部门，并协助医院保卫科和公安部门处理好事件。发生医患纠纷群体事件需要增援人员时，甲方同意及时调配增援保安人员到现场。乙方需承诺及时调配增援保安人员到场</w:t>
      </w:r>
      <w:r>
        <w:rPr>
          <w:rFonts w:hint="eastAsia" w:ascii="仿宋" w:hAnsi="仿宋" w:eastAsia="仿宋" w:cs="仿宋"/>
          <w:b/>
          <w:bCs/>
          <w:sz w:val="32"/>
          <w:szCs w:val="32"/>
        </w:rPr>
        <w:t>（增援人员的费用按每人8小时120元，4小时内按60元计算，超过4小时按8小时计算）</w:t>
      </w:r>
      <w:r>
        <w:rPr>
          <w:rFonts w:hint="eastAsia" w:ascii="仿宋" w:hAnsi="仿宋" w:eastAsia="仿宋" w:cs="仿宋"/>
          <w:sz w:val="32"/>
          <w:szCs w:val="32"/>
        </w:rPr>
        <w:t>。</w:t>
      </w:r>
    </w:p>
    <w:p w14:paraId="28E91A6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b/>
          <w:bCs/>
          <w:color w:val="FF0000"/>
          <w:sz w:val="32"/>
          <w:szCs w:val="32"/>
          <w:shd w:val="clear" w:color="auto" w:fill="FFFFFF"/>
        </w:rPr>
      </w:pPr>
      <w:r>
        <w:rPr>
          <w:rFonts w:hint="eastAsia" w:ascii="仿宋" w:hAnsi="仿宋" w:eastAsia="仿宋" w:cs="仿宋"/>
          <w:b/>
          <w:bCs/>
          <w:color w:val="FF0000"/>
          <w:sz w:val="32"/>
          <w:szCs w:val="32"/>
          <w:shd w:val="clear" w:color="auto" w:fill="FFFFFF"/>
          <w:lang w:val="en-US" w:eastAsia="zh-CN"/>
        </w:rPr>
        <w:t>14、</w:t>
      </w:r>
      <w:bookmarkStart w:id="6" w:name="_GoBack"/>
      <w:r>
        <w:rPr>
          <w:rFonts w:hint="eastAsia" w:ascii="仿宋" w:hAnsi="仿宋" w:eastAsia="仿宋" w:cs="仿宋"/>
          <w:b/>
          <w:bCs/>
          <w:color w:val="FF0000"/>
          <w:sz w:val="32"/>
          <w:szCs w:val="32"/>
          <w:shd w:val="clear" w:color="auto" w:fill="FFFFFF"/>
        </w:rPr>
        <w:t>服务期限：合同服务期限采用1+1模式。第一条即服务满1年，经医院考核合格的，继续续签1年合同期；如考核不合格的，则终止合同。</w:t>
      </w:r>
      <w:bookmarkEnd w:id="6"/>
    </w:p>
    <w:p w14:paraId="0DBC5EC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15、</w:t>
      </w:r>
      <w:r>
        <w:rPr>
          <w:rFonts w:hint="eastAsia" w:ascii="仿宋" w:hAnsi="仿宋" w:eastAsia="仿宋" w:cs="仿宋"/>
          <w:sz w:val="32"/>
          <w:szCs w:val="32"/>
          <w:lang w:val="en-US" w:eastAsia="zh-CN"/>
        </w:rPr>
        <w:t>服务满一个月后，应于每月5日前向甲方出具上月服务费用的正式税务发票，甲方接到前述票据后的30个工作日内账户。</w:t>
      </w:r>
      <w:r>
        <w:rPr>
          <w:rFonts w:hint="eastAsia" w:ascii="仿宋" w:hAnsi="仿宋" w:eastAsia="仿宋" w:cs="仿宋"/>
          <w:color w:val="000000"/>
          <w:sz w:val="32"/>
          <w:szCs w:val="32"/>
          <w:shd w:val="clear" w:color="auto" w:fill="FFFFFF"/>
        </w:rPr>
        <w:t>。</w:t>
      </w:r>
    </w:p>
    <w:p w14:paraId="461D942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14、投标报价超过招标控制价则投标无效。</w:t>
      </w:r>
      <w:r>
        <w:rPr>
          <w:rFonts w:hint="eastAsia" w:ascii="仿宋" w:hAnsi="仿宋" w:eastAsia="仿宋" w:cs="仿宋"/>
          <w:color w:val="000000"/>
          <w:sz w:val="32"/>
          <w:szCs w:val="32"/>
          <w:shd w:val="clear" w:color="auto" w:fill="FFFFFF"/>
        </w:rPr>
        <w:br w:type="page"/>
      </w:r>
    </w:p>
    <w:p w14:paraId="74283F5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rPr>
      </w:pPr>
    </w:p>
    <w:p w14:paraId="7855BA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：承诺函</w:t>
      </w:r>
    </w:p>
    <w:p w14:paraId="00738CD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44F3B4E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kern w:val="0"/>
          <w:sz w:val="32"/>
          <w:szCs w:val="32"/>
          <w:shd w:val="clear" w:fill="FFFFFF"/>
          <w:vertAlign w:val="baseline"/>
          <w:lang w:val="en-US" w:eastAsia="zh-CN" w:bidi="ar"/>
        </w:rPr>
        <w:t>附件3.2报价表：</w:t>
      </w:r>
    </w:p>
    <w:bookmarkEnd w:id="4"/>
    <w:p w14:paraId="79400CDA">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 报价方式：</w:t>
      </w:r>
    </w:p>
    <w:p w14:paraId="67792AE9">
      <w:pPr>
        <w:numPr>
          <w:ilvl w:val="0"/>
          <w:numId w:val="0"/>
        </w:numPr>
        <w:spacing w:line="3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投标报价：</w:t>
      </w:r>
      <w:r>
        <w:rPr>
          <w:rFonts w:hint="eastAsia" w:ascii="仿宋_GB2312" w:hAnsi="仿宋_GB2312" w:eastAsia="仿宋_GB2312" w:cs="仿宋_GB2312"/>
          <w:color w:val="auto"/>
          <w:sz w:val="32"/>
          <w:szCs w:val="32"/>
          <w:highlight w:val="none"/>
          <w:lang w:val="en-US" w:eastAsia="zh-CN"/>
        </w:rPr>
        <w:t>投标人须报出所有外包安保服务一年总价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报价应包括本次采购范围内全部工作所需的服务、人工费、</w:t>
      </w:r>
      <w:r>
        <w:rPr>
          <w:rFonts w:hint="eastAsia" w:ascii="仿宋_GB2312" w:hAnsi="仿宋_GB2312" w:eastAsia="仿宋_GB2312" w:cs="仿宋_GB2312"/>
          <w:color w:val="auto"/>
          <w:sz w:val="32"/>
          <w:szCs w:val="32"/>
          <w:highlight w:val="none"/>
          <w:lang w:eastAsia="zh-CN"/>
        </w:rPr>
        <w:t>安保器具、服装</w:t>
      </w:r>
      <w:r>
        <w:rPr>
          <w:rFonts w:hint="eastAsia" w:ascii="仿宋_GB2312" w:hAnsi="仿宋_GB2312" w:eastAsia="仿宋_GB2312" w:cs="仿宋_GB2312"/>
          <w:color w:val="auto"/>
          <w:sz w:val="32"/>
          <w:szCs w:val="32"/>
          <w:highlight w:val="none"/>
        </w:rPr>
        <w:t>、保险、税费以及培训及其他所有成本费用的总和。</w:t>
      </w:r>
      <w:r>
        <w:rPr>
          <w:rFonts w:hint="eastAsia" w:ascii="仿宋_GB2312" w:hAnsi="仿宋_GB2312" w:eastAsia="仿宋_GB2312" w:cs="仿宋_GB2312"/>
          <w:color w:val="FF0000"/>
          <w:sz w:val="32"/>
          <w:szCs w:val="32"/>
        </w:rPr>
        <w:t>报价应以人民币为计价货币，报价文件中的所有价格均应精确到小数点后两位。</w:t>
      </w:r>
    </w:p>
    <w:p w14:paraId="25A7EB7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宋体" w:hAnsi="宋体" w:eastAsia="宋体" w:cs="宋体"/>
          <w:color w:val="auto"/>
          <w:highlight w:val="none"/>
          <w:lang w:eastAsia="zh-CN"/>
        </w:rPr>
      </w:pP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sz w:val="32"/>
          <w:szCs w:val="32"/>
          <w:highlight w:val="none"/>
        </w:rPr>
        <w:t>采购预算金额：</w:t>
      </w:r>
      <w:r>
        <w:rPr>
          <w:rFonts w:hint="eastAsia" w:ascii="仿宋_GB2312" w:hAnsi="仿宋_GB2312" w:eastAsia="仿宋_GB2312" w:cs="仿宋_GB2312"/>
          <w:color w:val="FF0000"/>
          <w:sz w:val="32"/>
          <w:szCs w:val="32"/>
          <w:highlight w:val="none"/>
          <w:lang w:eastAsia="zh-CN"/>
        </w:rPr>
        <w:t>陆拾玖万陆千元</w:t>
      </w:r>
      <w:r>
        <w:rPr>
          <w:rFonts w:hint="eastAsia" w:ascii="仿宋_GB2312" w:hAnsi="仿宋_GB2312" w:eastAsia="仿宋_GB2312" w:cs="仿宋_GB2312"/>
          <w:color w:val="FF0000"/>
          <w:sz w:val="32"/>
          <w:szCs w:val="32"/>
          <w:highlight w:val="none"/>
          <w:u w:val="single"/>
        </w:rPr>
        <w:t>整（￥</w:t>
      </w:r>
      <w:r>
        <w:rPr>
          <w:rFonts w:hint="eastAsia" w:ascii="仿宋_GB2312" w:hAnsi="仿宋_GB2312" w:eastAsia="仿宋_GB2312" w:cs="仿宋_GB2312"/>
          <w:bCs/>
          <w:color w:val="FF0000"/>
          <w:sz w:val="32"/>
          <w:szCs w:val="32"/>
          <w:highlight w:val="none"/>
          <w:u w:val="single"/>
          <w:lang w:val="en-US" w:eastAsia="zh-CN"/>
        </w:rPr>
        <w:t>696000</w:t>
      </w:r>
      <w:r>
        <w:rPr>
          <w:rFonts w:hint="eastAsia" w:ascii="仿宋_GB2312" w:hAnsi="仿宋_GB2312" w:eastAsia="仿宋_GB2312" w:cs="仿宋_GB2312"/>
          <w:color w:val="FF0000"/>
          <w:sz w:val="32"/>
          <w:szCs w:val="32"/>
          <w:highlight w:val="none"/>
          <w:u w:val="single"/>
        </w:rPr>
        <w:t>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投标报价超出本项目采购预算金额的，投标文件作无效处理。</w:t>
      </w:r>
    </w:p>
    <w:p w14:paraId="50F658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0"/>
    <w:bookmarkEnd w:id="1"/>
    <w:bookmarkEnd w:id="2"/>
    <w:p w14:paraId="75A7822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5" w:name="_Toc24690"/>
    </w:p>
    <w:p w14:paraId="69A98B2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3B28462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43AC34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D239F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4F4DAD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5"/>
    <w:p w14:paraId="6E8C02D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39220B"/>
    <w:rsid w:val="0EBB6A07"/>
    <w:rsid w:val="11752DC3"/>
    <w:rsid w:val="123F6C45"/>
    <w:rsid w:val="12B21E72"/>
    <w:rsid w:val="12B72298"/>
    <w:rsid w:val="12CC375D"/>
    <w:rsid w:val="140A6C8D"/>
    <w:rsid w:val="14662A55"/>
    <w:rsid w:val="154F0566"/>
    <w:rsid w:val="18CD7AAB"/>
    <w:rsid w:val="19145D4E"/>
    <w:rsid w:val="195725A1"/>
    <w:rsid w:val="19811CA4"/>
    <w:rsid w:val="1A9537EF"/>
    <w:rsid w:val="1AAF4C8E"/>
    <w:rsid w:val="1AEF6A73"/>
    <w:rsid w:val="1B714586"/>
    <w:rsid w:val="1BB43819"/>
    <w:rsid w:val="1C204A0A"/>
    <w:rsid w:val="1C6A580E"/>
    <w:rsid w:val="1DED114E"/>
    <w:rsid w:val="1E8E0351"/>
    <w:rsid w:val="1EA628CB"/>
    <w:rsid w:val="1EF9220D"/>
    <w:rsid w:val="20315438"/>
    <w:rsid w:val="20D91506"/>
    <w:rsid w:val="2100305C"/>
    <w:rsid w:val="211D7F0D"/>
    <w:rsid w:val="21C978F2"/>
    <w:rsid w:val="255D0A7D"/>
    <w:rsid w:val="26013AFE"/>
    <w:rsid w:val="26323CB8"/>
    <w:rsid w:val="26B03CA1"/>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2A65A42"/>
    <w:rsid w:val="32A934AD"/>
    <w:rsid w:val="34333D66"/>
    <w:rsid w:val="344145B8"/>
    <w:rsid w:val="34E678CE"/>
    <w:rsid w:val="35B244CD"/>
    <w:rsid w:val="36272711"/>
    <w:rsid w:val="380F56D2"/>
    <w:rsid w:val="38C153DB"/>
    <w:rsid w:val="39761CB6"/>
    <w:rsid w:val="39D52E80"/>
    <w:rsid w:val="3A3E577E"/>
    <w:rsid w:val="3B3E17CB"/>
    <w:rsid w:val="3B693EDC"/>
    <w:rsid w:val="3BD05B98"/>
    <w:rsid w:val="3F163D1F"/>
    <w:rsid w:val="3FBC2A98"/>
    <w:rsid w:val="3FFE0E31"/>
    <w:rsid w:val="40161500"/>
    <w:rsid w:val="41260B15"/>
    <w:rsid w:val="41766CF7"/>
    <w:rsid w:val="41CE268F"/>
    <w:rsid w:val="425132C0"/>
    <w:rsid w:val="42BE2522"/>
    <w:rsid w:val="42D02437"/>
    <w:rsid w:val="42E65478"/>
    <w:rsid w:val="434B4E7B"/>
    <w:rsid w:val="43D87FA5"/>
    <w:rsid w:val="44135A75"/>
    <w:rsid w:val="449D1A4E"/>
    <w:rsid w:val="45EC3A2B"/>
    <w:rsid w:val="460F3276"/>
    <w:rsid w:val="4630379B"/>
    <w:rsid w:val="46924213"/>
    <w:rsid w:val="46A95479"/>
    <w:rsid w:val="4740402F"/>
    <w:rsid w:val="48095C7F"/>
    <w:rsid w:val="48A00AFD"/>
    <w:rsid w:val="492478B1"/>
    <w:rsid w:val="49424916"/>
    <w:rsid w:val="49DA3B9B"/>
    <w:rsid w:val="4B166E55"/>
    <w:rsid w:val="4B274378"/>
    <w:rsid w:val="4B7A3887"/>
    <w:rsid w:val="4D5B504C"/>
    <w:rsid w:val="4DAB06D4"/>
    <w:rsid w:val="4E7E71EB"/>
    <w:rsid w:val="4EDE412D"/>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BE7A16"/>
    <w:rsid w:val="58C25CA9"/>
    <w:rsid w:val="58E3481A"/>
    <w:rsid w:val="597E4543"/>
    <w:rsid w:val="5ADE3F88"/>
    <w:rsid w:val="5AF004BF"/>
    <w:rsid w:val="5BB10BFF"/>
    <w:rsid w:val="5BB4249E"/>
    <w:rsid w:val="5C3A6E47"/>
    <w:rsid w:val="5C5269B9"/>
    <w:rsid w:val="5EDB5F93"/>
    <w:rsid w:val="60196D73"/>
    <w:rsid w:val="62BF5BAC"/>
    <w:rsid w:val="62D073DE"/>
    <w:rsid w:val="63CE4319"/>
    <w:rsid w:val="64754794"/>
    <w:rsid w:val="64D8544F"/>
    <w:rsid w:val="667271DD"/>
    <w:rsid w:val="67BF41E6"/>
    <w:rsid w:val="680570D2"/>
    <w:rsid w:val="6865349E"/>
    <w:rsid w:val="68703BF0"/>
    <w:rsid w:val="687E6956"/>
    <w:rsid w:val="6AD06BC8"/>
    <w:rsid w:val="6B805304"/>
    <w:rsid w:val="6BA41D27"/>
    <w:rsid w:val="6C665881"/>
    <w:rsid w:val="6C6B607E"/>
    <w:rsid w:val="6DDD3AD6"/>
    <w:rsid w:val="71AB38CC"/>
    <w:rsid w:val="72346306"/>
    <w:rsid w:val="72820F0A"/>
    <w:rsid w:val="72B50B7E"/>
    <w:rsid w:val="73CA6E24"/>
    <w:rsid w:val="73D72D76"/>
    <w:rsid w:val="740C6EC3"/>
    <w:rsid w:val="74116287"/>
    <w:rsid w:val="74B104BE"/>
    <w:rsid w:val="750722DF"/>
    <w:rsid w:val="752B5127"/>
    <w:rsid w:val="75D67789"/>
    <w:rsid w:val="75E55862"/>
    <w:rsid w:val="761C7166"/>
    <w:rsid w:val="766308F1"/>
    <w:rsid w:val="7682346D"/>
    <w:rsid w:val="76872831"/>
    <w:rsid w:val="76E54287"/>
    <w:rsid w:val="772E3D3E"/>
    <w:rsid w:val="774A2881"/>
    <w:rsid w:val="77AD2837"/>
    <w:rsid w:val="77CB0E43"/>
    <w:rsid w:val="78202F3D"/>
    <w:rsid w:val="784F55D0"/>
    <w:rsid w:val="78CE2999"/>
    <w:rsid w:val="79211120"/>
    <w:rsid w:val="795C61F7"/>
    <w:rsid w:val="798412AA"/>
    <w:rsid w:val="79DC2E94"/>
    <w:rsid w:val="7C6A3227"/>
    <w:rsid w:val="7D553689"/>
    <w:rsid w:val="7E7734C9"/>
    <w:rsid w:val="7F842F98"/>
    <w:rsid w:val="7F995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line="360" w:lineRule="auto"/>
      <w:jc w:val="left"/>
      <w:outlineLvl w:val="0"/>
    </w:pPr>
    <w:rPr>
      <w:bCs/>
      <w:kern w:val="44"/>
      <w:sz w:val="2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5">
    <w:name w:val="heading 3"/>
    <w:basedOn w:val="1"/>
    <w:next w:val="1"/>
    <w:link w:val="42"/>
    <w:unhideWhenUsed/>
    <w:qFormat/>
    <w:uiPriority w:val="9"/>
    <w:pPr>
      <w:keepNext/>
      <w:keepLines/>
      <w:spacing w:before="260" w:after="260" w:line="416" w:lineRule="auto"/>
      <w:outlineLvl w:val="2"/>
    </w:pPr>
    <w:rPr>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rPr>
      <w:szCs w:val="20"/>
    </w:rPr>
  </w:style>
  <w:style w:type="paragraph" w:styleId="6">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7">
    <w:name w:val="Document Map"/>
    <w:basedOn w:val="1"/>
    <w:link w:val="30"/>
    <w:semiHidden/>
    <w:unhideWhenUsed/>
    <w:qFormat/>
    <w:uiPriority w:val="99"/>
    <w:rPr>
      <w:rFonts w:ascii="宋体" w:eastAsia="宋体"/>
      <w:sz w:val="18"/>
      <w:szCs w:val="18"/>
    </w:rPr>
  </w:style>
  <w:style w:type="paragraph" w:styleId="8">
    <w:name w:val="annotation text"/>
    <w:basedOn w:val="1"/>
    <w:link w:val="38"/>
    <w:semiHidden/>
    <w:unhideWhenUsed/>
    <w:qFormat/>
    <w:uiPriority w:val="99"/>
    <w:pPr>
      <w:jc w:val="left"/>
    </w:pPr>
  </w:style>
  <w:style w:type="paragraph" w:styleId="9">
    <w:name w:val="Body Text Indent"/>
    <w:basedOn w:val="1"/>
    <w:next w:val="10"/>
    <w:qFormat/>
    <w:uiPriority w:val="0"/>
    <w:pPr>
      <w:widowControl w:val="0"/>
      <w:spacing w:after="120"/>
      <w:ind w:left="420" w:leftChars="200"/>
      <w:jc w:val="both"/>
    </w:pPr>
    <w:rPr>
      <w:rFonts w:ascii="Times New Roman" w:hAnsi="Times New Roman" w:cs="Times New Roman"/>
      <w:kern w:val="2"/>
      <w:sz w:val="21"/>
    </w:rPr>
  </w:style>
  <w:style w:type="paragraph" w:customStyle="1" w:styleId="10">
    <w:name w:val="样式 正文文本缩进 + 首行缩进:  2 字符 行距: 1.5 倍行距"/>
    <w:basedOn w:val="9"/>
    <w:qFormat/>
    <w:uiPriority w:val="0"/>
    <w:rPr>
      <w:rFonts w:cs="宋体"/>
    </w:rPr>
  </w:style>
  <w:style w:type="paragraph" w:styleId="11">
    <w:name w:val="Date"/>
    <w:basedOn w:val="1"/>
    <w:next w:val="1"/>
    <w:link w:val="31"/>
    <w:semiHidden/>
    <w:unhideWhenUsed/>
    <w:qFormat/>
    <w:uiPriority w:val="99"/>
    <w:pPr>
      <w:ind w:left="100" w:leftChars="2500"/>
    </w:pPr>
  </w:style>
  <w:style w:type="paragraph" w:styleId="12">
    <w:name w:val="Balloon Text"/>
    <w:basedOn w:val="1"/>
    <w:link w:val="40"/>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8"/>
    <w:next w:val="8"/>
    <w:link w:val="39"/>
    <w:semiHidden/>
    <w:unhideWhenUsed/>
    <w:qFormat/>
    <w:uiPriority w:val="99"/>
    <w:rPr>
      <w:b/>
      <w:bCs/>
    </w:rPr>
  </w:style>
  <w:style w:type="paragraph" w:styleId="17">
    <w:name w:val="Body Text First Indent 2"/>
    <w:basedOn w:val="9"/>
    <w:next w:val="18"/>
    <w:unhideWhenUsed/>
    <w:qFormat/>
    <w:uiPriority w:val="99"/>
    <w:pPr>
      <w:ind w:firstLine="420" w:firstLineChars="200"/>
    </w:pPr>
  </w:style>
  <w:style w:type="paragraph" w:customStyle="1" w:styleId="18">
    <w:name w:val="**正文"/>
    <w:basedOn w:val="1"/>
    <w:qFormat/>
    <w:uiPriority w:val="0"/>
    <w:pPr>
      <w:widowControl w:val="0"/>
      <w:ind w:firstLine="482"/>
      <w:jc w:val="both"/>
    </w:pPr>
    <w:rPr>
      <w:rFonts w:cs="Times New Roman"/>
      <w:kern w:val="2"/>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u w:val="single"/>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customStyle="1" w:styleId="26">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文档结构图 字符"/>
    <w:basedOn w:val="21"/>
    <w:link w:val="7"/>
    <w:semiHidden/>
    <w:qFormat/>
    <w:uiPriority w:val="99"/>
    <w:rPr>
      <w:rFonts w:ascii="宋体" w:eastAsia="宋体"/>
      <w:sz w:val="18"/>
      <w:szCs w:val="18"/>
    </w:rPr>
  </w:style>
  <w:style w:type="character" w:customStyle="1" w:styleId="31">
    <w:name w:val="日期 字符"/>
    <w:basedOn w:val="21"/>
    <w:link w:val="11"/>
    <w:semiHidden/>
    <w:qFormat/>
    <w:uiPriority w:val="99"/>
  </w:style>
  <w:style w:type="character" w:customStyle="1" w:styleId="32">
    <w:name w:val="标题 2 字符"/>
    <w:basedOn w:val="21"/>
    <w:link w:val="4"/>
    <w:qFormat/>
    <w:uiPriority w:val="0"/>
    <w:rPr>
      <w:rFonts w:asciiTheme="majorHAnsi" w:hAnsiTheme="majorHAnsi" w:eastAsiaTheme="majorEastAsia" w:cstheme="majorBidi"/>
      <w:b/>
      <w:bCs/>
      <w:kern w:val="2"/>
      <w:sz w:val="30"/>
      <w:szCs w:val="32"/>
    </w:rPr>
  </w:style>
  <w:style w:type="character" w:customStyle="1" w:styleId="33">
    <w:name w:val="标题 1 字符"/>
    <w:basedOn w:val="21"/>
    <w:link w:val="3"/>
    <w:qFormat/>
    <w:uiPriority w:val="9"/>
    <w:rPr>
      <w:bCs/>
      <w:kern w:val="44"/>
      <w:sz w:val="24"/>
      <w:szCs w:val="44"/>
    </w:rPr>
  </w:style>
  <w:style w:type="paragraph" w:customStyle="1" w:styleId="34">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5">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6">
    <w:name w:val="正文-2字符首行缩进"/>
    <w:basedOn w:val="1"/>
    <w:link w:val="37"/>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7">
    <w:name w:val="正文-2字符首行缩进 Char"/>
    <w:link w:val="36"/>
    <w:qFormat/>
    <w:uiPriority w:val="0"/>
    <w:rPr>
      <w:rFonts w:ascii="仿宋_GB2312" w:hAnsi="Calibri" w:eastAsia="仿宋_GB2312" w:cs="Times New Roman"/>
      <w:sz w:val="28"/>
      <w:szCs w:val="22"/>
    </w:rPr>
  </w:style>
  <w:style w:type="character" w:customStyle="1" w:styleId="38">
    <w:name w:val="批注文字 字符"/>
    <w:basedOn w:val="21"/>
    <w:link w:val="8"/>
    <w:semiHidden/>
    <w:qFormat/>
    <w:uiPriority w:val="99"/>
    <w:rPr>
      <w:kern w:val="2"/>
      <w:sz w:val="21"/>
      <w:szCs w:val="22"/>
    </w:rPr>
  </w:style>
  <w:style w:type="character" w:customStyle="1" w:styleId="39">
    <w:name w:val="批注主题 字符"/>
    <w:basedOn w:val="38"/>
    <w:link w:val="16"/>
    <w:semiHidden/>
    <w:qFormat/>
    <w:uiPriority w:val="99"/>
    <w:rPr>
      <w:b/>
      <w:bCs/>
      <w:kern w:val="2"/>
      <w:sz w:val="21"/>
      <w:szCs w:val="22"/>
    </w:rPr>
  </w:style>
  <w:style w:type="character" w:customStyle="1" w:styleId="40">
    <w:name w:val="批注框文本 字符"/>
    <w:basedOn w:val="21"/>
    <w:link w:val="12"/>
    <w:semiHidden/>
    <w:qFormat/>
    <w:uiPriority w:val="99"/>
    <w:rPr>
      <w:kern w:val="2"/>
      <w:sz w:val="18"/>
      <w:szCs w:val="18"/>
    </w:rPr>
  </w:style>
  <w:style w:type="character" w:customStyle="1" w:styleId="41">
    <w:name w:val="未处理的提及1"/>
    <w:basedOn w:val="21"/>
    <w:semiHidden/>
    <w:unhideWhenUsed/>
    <w:qFormat/>
    <w:uiPriority w:val="99"/>
    <w:rPr>
      <w:color w:val="605E5C"/>
      <w:shd w:val="clear" w:color="auto" w:fill="E1DFDD"/>
    </w:rPr>
  </w:style>
  <w:style w:type="character" w:customStyle="1" w:styleId="42">
    <w:name w:val="标题 3 字符"/>
    <w:basedOn w:val="21"/>
    <w:link w:val="5"/>
    <w:qFormat/>
    <w:uiPriority w:val="9"/>
    <w:rPr>
      <w:b/>
      <w:bCs/>
      <w:kern w:val="2"/>
      <w:sz w:val="28"/>
      <w:szCs w:val="32"/>
    </w:rPr>
  </w:style>
  <w:style w:type="table" w:customStyle="1" w:styleId="43">
    <w:name w:val="TableGrid"/>
    <w:qFormat/>
    <w:uiPriority w:val="0"/>
    <w:rPr>
      <w:kern w:val="2"/>
      <w:sz w:val="21"/>
      <w:szCs w:val="22"/>
    </w:rPr>
    <w:tblPr>
      <w:tblCellMar>
        <w:top w:w="0" w:type="dxa"/>
        <w:left w:w="0" w:type="dxa"/>
        <w:bottom w:w="0" w:type="dxa"/>
        <w:right w:w="0" w:type="dxa"/>
      </w:tblCellMar>
    </w:tblPr>
  </w:style>
  <w:style w:type="table" w:customStyle="1" w:styleId="44">
    <w:name w:val="网格型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Grid1"/>
    <w:qFormat/>
    <w:uiPriority w:val="0"/>
    <w:rPr>
      <w:kern w:val="2"/>
      <w:sz w:val="21"/>
      <w:szCs w:val="22"/>
    </w:rPr>
    <w:tblPr>
      <w:tblCellMar>
        <w:top w:w="0" w:type="dxa"/>
        <w:left w:w="0" w:type="dxa"/>
        <w:bottom w:w="0" w:type="dxa"/>
        <w:right w:w="0" w:type="dxa"/>
      </w:tblCellMar>
    </w:tblPr>
  </w:style>
  <w:style w:type="character" w:customStyle="1" w:styleId="46">
    <w:name w:val="正文文本 字符"/>
    <w:basedOn w:val="21"/>
    <w:link w:val="2"/>
    <w:qFormat/>
    <w:uiPriority w:val="99"/>
    <w:rPr>
      <w:kern w:val="2"/>
      <w:sz w:val="21"/>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5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3">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4">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3">
    <w:name w:val="font71"/>
    <w:basedOn w:val="21"/>
    <w:qFormat/>
    <w:uiPriority w:val="0"/>
    <w:rPr>
      <w:rFonts w:ascii="Calibri" w:hAnsi="Calibri" w:cs="Calibri"/>
      <w:color w:val="000000"/>
      <w:sz w:val="22"/>
      <w:szCs w:val="22"/>
      <w:u w:val="none"/>
    </w:rPr>
  </w:style>
  <w:style w:type="character" w:customStyle="1" w:styleId="74">
    <w:name w:val="font81"/>
    <w:basedOn w:val="21"/>
    <w:qFormat/>
    <w:uiPriority w:val="0"/>
    <w:rPr>
      <w:rFonts w:hint="eastAsia" w:ascii="宋体" w:hAnsi="宋体" w:eastAsia="宋体" w:cs="宋体"/>
      <w:color w:val="000000"/>
      <w:sz w:val="22"/>
      <w:szCs w:val="22"/>
      <w:u w:val="none"/>
    </w:rPr>
  </w:style>
  <w:style w:type="character" w:customStyle="1" w:styleId="75">
    <w:name w:val="font61"/>
    <w:basedOn w:val="21"/>
    <w:qFormat/>
    <w:uiPriority w:val="0"/>
    <w:rPr>
      <w:rFonts w:hint="default" w:ascii="Calibri" w:hAnsi="Calibri" w:cs="Calibri"/>
      <w:color w:val="auto"/>
      <w:sz w:val="22"/>
      <w:szCs w:val="22"/>
      <w:u w:val="none"/>
    </w:rPr>
  </w:style>
  <w:style w:type="character" w:customStyle="1" w:styleId="76">
    <w:name w:val="font51"/>
    <w:basedOn w:val="21"/>
    <w:qFormat/>
    <w:uiPriority w:val="0"/>
    <w:rPr>
      <w:rFonts w:hint="eastAsia" w:ascii="宋体" w:hAnsi="宋体" w:eastAsia="宋体" w:cs="宋体"/>
      <w:color w:val="auto"/>
      <w:sz w:val="22"/>
      <w:szCs w:val="22"/>
      <w:u w:val="none"/>
    </w:rPr>
  </w:style>
  <w:style w:type="character" w:customStyle="1" w:styleId="77">
    <w:name w:val="font91"/>
    <w:basedOn w:val="21"/>
    <w:qFormat/>
    <w:uiPriority w:val="0"/>
    <w:rPr>
      <w:rFonts w:hint="eastAsia" w:ascii="宋体" w:hAnsi="宋体" w:eastAsia="宋体" w:cs="宋体"/>
      <w:color w:val="000000"/>
      <w:sz w:val="22"/>
      <w:szCs w:val="22"/>
      <w:u w:val="none"/>
    </w:rPr>
  </w:style>
  <w:style w:type="character" w:customStyle="1" w:styleId="78">
    <w:name w:val="font4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1419</Words>
  <Characters>1453</Characters>
  <Lines>8</Lines>
  <Paragraphs>2</Paragraphs>
  <TotalTime>4</TotalTime>
  <ScaleCrop>false</ScaleCrop>
  <LinksUpToDate>false</LinksUpToDate>
  <CharactersWithSpaces>1517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WPS_1643165497</cp:lastModifiedBy>
  <cp:lastPrinted>2020-04-08T06:08:00Z</cp:lastPrinted>
  <dcterms:modified xsi:type="dcterms:W3CDTF">2025-07-03T08:52:24Z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1C505DB6A58949F3800375846591077B_13</vt:lpwstr>
  </property>
  <property fmtid="{D5CDD505-2E9C-101B-9397-08002B2CF9AE}" pid="4" name="KSOTemplateDocerSaveRecord">
    <vt:lpwstr>eyJoZGlkIjoiYjcwMmUyNWMxZjczMjdmZTk0ZDc2ODI4YWVlNjIxM2EiLCJ1c2VySWQiOiIxMzIxOTY3MjcyIn0=</vt:lpwstr>
  </property>
</Properties>
</file>