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2D30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bookmarkStart w:id="0" w:name="_Toc24653"/>
      <w:bookmarkStart w:id="1" w:name="_Toc26602"/>
      <w:r>
        <w:rPr>
          <w:rFonts w:hint="eastAsia" w:ascii="仿宋_GB2312" w:hAnsi="仿宋_GB2312" w:eastAsia="仿宋_GB2312" w:cs="仿宋_GB2312"/>
          <w:color w:val="000000"/>
          <w:sz w:val="32"/>
          <w:szCs w:val="32"/>
          <w:shd w:val="clear" w:color="auto" w:fill="FFFFFF"/>
          <w:lang w:eastAsia="zh-CN"/>
        </w:rPr>
        <w:t>附件</w:t>
      </w:r>
      <w:r>
        <w:rPr>
          <w:rFonts w:hint="eastAsia" w:ascii="仿宋_GB2312" w:hAnsi="仿宋_GB2312" w:eastAsia="仿宋_GB2312" w:cs="仿宋_GB2312"/>
          <w:color w:val="000000"/>
          <w:sz w:val="32"/>
          <w:szCs w:val="32"/>
          <w:shd w:val="clear" w:color="auto" w:fill="FFFFFF"/>
          <w:lang w:val="en-US" w:eastAsia="zh-CN"/>
        </w:rPr>
        <w:t>3：</w:t>
      </w:r>
    </w:p>
    <w:p w14:paraId="04F7E70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市场调查问卷</w:t>
      </w:r>
    </w:p>
    <w:p w14:paraId="78C5C727">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桂林市中医医院医疗废物收集、转运、处置服务项目供应商报名资料</w:t>
      </w:r>
    </w:p>
    <w:p w14:paraId="347CC8E7">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（加盖公司鲜章、按目录顺序、缺项不予通过）</w:t>
      </w:r>
    </w:p>
    <w:p w14:paraId="2A8B70A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一、封面页</w:t>
      </w:r>
    </w:p>
    <w:p w14:paraId="50155C4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写明报名项目：桂林市中医医院医疗废物收集、转运、处置服务项目</w:t>
      </w:r>
    </w:p>
    <w:p w14:paraId="28388FE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报名企业：[企业全称]</w:t>
      </w:r>
    </w:p>
    <w:p w14:paraId="421ED71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联系人：[联系人姓名]</w:t>
      </w:r>
    </w:p>
    <w:p w14:paraId="080BBE7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联系方式：[联系电话、邮箱等]</w:t>
      </w:r>
    </w:p>
    <w:p w14:paraId="267114A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二、企业承诺书（见附件3.1）</w:t>
      </w:r>
    </w:p>
    <w:p w14:paraId="0626FAA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三、报价单（含税金等全部费用）（见附件3.2）</w:t>
      </w:r>
    </w:p>
    <w:p w14:paraId="309F3125">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需清晰列出针对医疗废物收集、转运、处置各环节的收费明细。</w:t>
      </w:r>
    </w:p>
    <w:p w14:paraId="674364A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四、资质证书</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提供三证合一后的营业执照，以及涵盖医疗废物收集、转运、处置相关内容，以证明具备合法经营资格的其他资质证明文件。</w:t>
      </w:r>
    </w:p>
    <w:p w14:paraId="4AEA558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五、服务范围</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明确说明可承接的医疗废物类别，包括但不限于感染性废物、病理性废物、损伤性废物、药物性废物、化学性废物等在桂林市中医医院产生的各类医疗废物。</w:t>
      </w:r>
    </w:p>
    <w:p w14:paraId="23156E4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六、运输及处置设备</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列举拥有的医疗废物运输车辆品牌、型号、数量，以及处置设备（如焚烧炉等）的品牌、型号和数量 。</w:t>
      </w:r>
    </w:p>
    <w:p w14:paraId="1F8AE6C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七、技术工艺</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说明医疗废物收集、转运过程中的密封、防护技术，以及处置环节采用的工艺，如焚烧工艺参数、消毒方式等。</w:t>
      </w:r>
    </w:p>
    <w:p w14:paraId="0D01BAE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八、服务质量标准</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提供内部执行的医疗废物收集、转运、处置质量控制标准，如转运及时性、处置达标率等，以及对应的检测手段和频率。</w:t>
      </w:r>
    </w:p>
    <w:p w14:paraId="0FAB854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九、合作案例</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提供与其他医院的合作案例，包括合作医院名称、合作时间、服务内容（医疗废物收集、转运、处置的具体工作内容）等。</w:t>
      </w:r>
    </w:p>
    <w:p w14:paraId="4C07270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十、客户评价（如有）</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可提供部分合作医院的评价或推荐信。</w:t>
      </w:r>
    </w:p>
    <w:p w14:paraId="28EEF674">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十一、人员资质</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介绍负责医疗废物收集、转运、处置的人员专业资质和培训情况，如是否有危险废物运输从业资格证、处置技术人员专业证书等。</w:t>
      </w:r>
    </w:p>
    <w:p w14:paraId="370DF93E">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十二、健康状况</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说明员工是否定期进行健康检查，提供健康证明等资料。</w:t>
      </w:r>
    </w:p>
    <w:p w14:paraId="7BFF041E">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十三、价格体系</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提供针对医疗废物收集、转运、处置服务的详细报价清单，以及价格计算方式，如按重量、车次计费等。</w:t>
      </w:r>
    </w:p>
    <w:p w14:paraId="619A39B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十四、服务条款</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包括服务周期、运输时间安排、结算方式、违约责任等，明确双方的权利和义务。</w:t>
      </w:r>
    </w:p>
    <w:p w14:paraId="7330D6F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十五、应急预案</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提供应对突发情况的预案，如运输车辆故障、处置设备故障、传染病疫情爆发导致医疗废物激增等特殊时期的保障措施。</w:t>
      </w:r>
    </w:p>
    <w:p w14:paraId="41336E6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十六、应急资源</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说明具备的应急运输车辆、备用处置设备、应急处置场地等应急资源情况。</w:t>
      </w:r>
    </w:p>
    <w:p w14:paraId="71F5614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十七、环保措施</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介绍医疗废物处置过程中产生的污染物（如废气、废水、废渣）处理措施和相关认证，如是否符合环保排放标准，是否有污染治理设施运行记录等。</w:t>
      </w:r>
    </w:p>
    <w:p w14:paraId="1DEED2E4">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十八、厂家或代理商法人给业务人员授权（双方签字）、法人及业务人员身份证复印件</w:t>
      </w:r>
    </w:p>
    <w:p w14:paraId="4AD762A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十九、安全管理措施</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说明在医疗废物收集、转运、处置过程中的安全管理措施，如运输过程中的交通安全、处置场地的消防安全、人员防护安全等，以及相关的安全管理制度和记录。</w:t>
      </w:r>
    </w:p>
    <w:p w14:paraId="044D87A1">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二十、提供2022年1月1日以来所提供服务完整清晰三级甲等医院采购的合同书复印件至少2份</w:t>
      </w:r>
    </w:p>
    <w:p w14:paraId="74283F5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二十一、提供2022年1月1日以来所提供服务医院用户清单</w:t>
      </w:r>
    </w:p>
    <w:p w14:paraId="4D7426D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2" w:name="_Toc8052"/>
    </w:p>
    <w:p w14:paraId="2E617071">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03A2263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1D3AD59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2896A7C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59B916F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855BAD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6" w:name="_GoBack"/>
      <w:bookmarkEnd w:id="6"/>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：承诺函</w:t>
      </w:r>
    </w:p>
    <w:p w14:paraId="00738CD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桂林市中医医院：</w:t>
      </w:r>
    </w:p>
    <w:p w14:paraId="22E0B04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我公司已认真阅读了贵院官网公布的市场调研信息，充分知悉并了解了贵院针对本次采购需求调查内容，我方针对本次调查问卷的建议或者意见都已在本记录中进行了反映。</w:t>
      </w:r>
    </w:p>
    <w:p w14:paraId="7CEE5B2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4040DBD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1B76714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特此承诺!</w:t>
      </w:r>
    </w:p>
    <w:p w14:paraId="38D7B747">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BE06E04">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单位名称：                （盖公章）</w:t>
      </w:r>
    </w:p>
    <w:p w14:paraId="7C6FAF4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20E3058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联系人：  </w:t>
      </w:r>
      <w:bookmarkStart w:id="3" w:name="_Hlk146613152"/>
      <w:r>
        <w:rPr>
          <w:rFonts w:hint="eastAsia" w:ascii="仿宋_GB2312" w:hAnsi="仿宋_GB2312" w:eastAsia="仿宋_GB2312" w:cs="仿宋_GB2312"/>
          <w:color w:val="000000"/>
          <w:sz w:val="32"/>
          <w:szCs w:val="32"/>
          <w:shd w:val="clear" w:color="auto" w:fill="FFFFFF"/>
        </w:rPr>
        <w:t xml:space="preserve">                </w:t>
      </w:r>
      <w:bookmarkEnd w:id="3"/>
      <w:r>
        <w:rPr>
          <w:rFonts w:hint="eastAsia" w:ascii="仿宋_GB2312" w:hAnsi="仿宋_GB2312" w:eastAsia="仿宋_GB2312" w:cs="仿宋_GB2312"/>
          <w:color w:val="000000"/>
          <w:sz w:val="32"/>
          <w:szCs w:val="32"/>
          <w:shd w:val="clear" w:color="auto" w:fill="FFFFFF"/>
        </w:rPr>
        <w:t xml:space="preserve">    </w:t>
      </w:r>
    </w:p>
    <w:p w14:paraId="6F55912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联系电话：              </w:t>
      </w:r>
    </w:p>
    <w:p w14:paraId="1C2527F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4" w:name="_Hlk85126858"/>
      <w:r>
        <w:rPr>
          <w:rFonts w:hint="eastAsia" w:ascii="仿宋_GB2312" w:hAnsi="仿宋_GB2312" w:eastAsia="仿宋_GB2312" w:cs="仿宋_GB2312"/>
          <w:color w:val="000000"/>
          <w:sz w:val="32"/>
          <w:szCs w:val="32"/>
          <w:shd w:val="clear" w:color="auto" w:fill="FFFFFF"/>
        </w:rPr>
        <w:t>日    期：</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年  月  日</w:t>
      </w:r>
    </w:p>
    <w:p w14:paraId="2C361781">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p>
    <w:p w14:paraId="44F3B4E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附件3.2报价表：</w:t>
      </w:r>
    </w:p>
    <w:bookmarkEnd w:id="4"/>
    <w:p w14:paraId="79400CD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四</w:t>
      </w:r>
      <w:r>
        <w:rPr>
          <w:rFonts w:hint="eastAsia" w:ascii="仿宋_GB2312" w:hAnsi="仿宋_GB2312" w:eastAsia="仿宋_GB2312" w:cs="仿宋_GB2312"/>
          <w:color w:val="000000"/>
          <w:sz w:val="32"/>
          <w:szCs w:val="32"/>
          <w:shd w:val="clear" w:color="auto" w:fill="FFFFFF"/>
        </w:rPr>
        <w:t>、 报价方式：</w:t>
      </w:r>
    </w:p>
    <w:p w14:paraId="67792AE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投标报价：</w:t>
      </w:r>
      <w:r>
        <w:rPr>
          <w:rFonts w:hint="eastAsia" w:ascii="仿宋_GB2312" w:hAnsi="仿宋_GB2312" w:eastAsia="仿宋_GB2312" w:cs="仿宋_GB2312"/>
          <w:color w:val="000000"/>
          <w:sz w:val="32"/>
          <w:szCs w:val="32"/>
          <w:shd w:val="clear" w:color="auto" w:fill="FFFFFF"/>
          <w:lang w:val="en-US" w:eastAsia="zh-CN"/>
        </w:rPr>
        <w:t>投标人须报出所有范围内医疗废物收运处置服务一年总价</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报价应包括本次采购范围内全部工作所需的服务、人工费、交通、通讯、保险、税费、利润以及调试、检验、售后服务、培训及其他所有成本费用的总和。报价应以人民币为计价货币，报价文件中的所有价格均应精确到小数点后两位。</w:t>
      </w:r>
    </w:p>
    <w:p w14:paraId="49DD7A2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p>
    <w:p w14:paraId="25A7EB7F">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本项目</w:t>
      </w:r>
      <w:r>
        <w:rPr>
          <w:rFonts w:hint="eastAsia" w:ascii="仿宋_GB2312" w:hAnsi="仿宋_GB2312" w:eastAsia="仿宋_GB2312" w:cs="仿宋_GB2312"/>
          <w:color w:val="000000"/>
          <w:sz w:val="32"/>
          <w:szCs w:val="32"/>
          <w:shd w:val="clear" w:color="auto" w:fill="FFFFFF"/>
        </w:rPr>
        <w:t>采购预算金额：</w:t>
      </w:r>
      <w:r>
        <w:rPr>
          <w:rFonts w:hint="eastAsia" w:ascii="仿宋_GB2312" w:hAnsi="仿宋_GB2312" w:eastAsia="仿宋_GB2312" w:cs="仿宋_GB2312"/>
          <w:color w:val="000000"/>
          <w:sz w:val="32"/>
          <w:szCs w:val="32"/>
          <w:shd w:val="clear" w:color="auto" w:fill="FFFFFF"/>
          <w:lang w:eastAsia="zh-CN"/>
        </w:rPr>
        <w:t>壹佰零肆万陆仟贰佰伍拾元</w:t>
      </w:r>
      <w:r>
        <w:rPr>
          <w:rFonts w:hint="eastAsia" w:ascii="仿宋_GB2312" w:hAnsi="仿宋_GB2312" w:eastAsia="仿宋_GB2312" w:cs="仿宋_GB2312"/>
          <w:color w:val="000000"/>
          <w:sz w:val="32"/>
          <w:szCs w:val="32"/>
          <w:shd w:val="clear" w:color="auto" w:fill="FFFFFF"/>
        </w:rPr>
        <w:t>整（￥</w:t>
      </w:r>
      <w:r>
        <w:rPr>
          <w:rFonts w:hint="eastAsia" w:ascii="仿宋_GB2312" w:hAnsi="仿宋_GB2312" w:eastAsia="仿宋_GB2312" w:cs="仿宋_GB2312"/>
          <w:color w:val="000000"/>
          <w:sz w:val="32"/>
          <w:szCs w:val="32"/>
          <w:shd w:val="clear" w:color="auto" w:fill="FFFFFF"/>
          <w:lang w:val="en-US" w:eastAsia="zh-CN"/>
        </w:rPr>
        <w:t>1,046,250</w:t>
      </w:r>
      <w:r>
        <w:rPr>
          <w:rFonts w:hint="eastAsia" w:ascii="仿宋_GB2312" w:hAnsi="仿宋_GB2312" w:eastAsia="仿宋_GB2312" w:cs="仿宋_GB2312"/>
          <w:color w:val="000000"/>
          <w:sz w:val="32"/>
          <w:szCs w:val="32"/>
          <w:shd w:val="clear" w:color="auto" w:fill="FFFFFF"/>
        </w:rPr>
        <w:t>.00元）。</w:t>
      </w:r>
      <w:r>
        <w:rPr>
          <w:rFonts w:hint="eastAsia" w:ascii="仿宋_GB2312" w:hAnsi="仿宋_GB2312" w:eastAsia="仿宋_GB2312" w:cs="仿宋_GB2312"/>
          <w:color w:val="000000"/>
          <w:sz w:val="32"/>
          <w:szCs w:val="32"/>
          <w:shd w:val="clear" w:color="auto" w:fill="FFFFFF"/>
          <w:lang w:eastAsia="zh-CN"/>
        </w:rPr>
        <w:t>投标报价超出本项目采购预算金额的，投标文件作无效处理。</w:t>
      </w:r>
    </w:p>
    <w:p w14:paraId="50F6582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bookmarkEnd w:id="0"/>
    <w:bookmarkEnd w:id="1"/>
    <w:bookmarkEnd w:id="2"/>
    <w:p w14:paraId="75A7822F">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5" w:name="_Toc24690"/>
    </w:p>
    <w:p w14:paraId="69A98B2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3B28462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543AC34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6D239F2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64F4DAD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bookmarkEnd w:id="5"/>
    <w:p w14:paraId="6E8C02D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default" w:ascii="仿宋_GB2312" w:hAnsi="仿宋_GB2312" w:eastAsia="仿宋_GB2312" w:cs="仿宋_GB2312"/>
          <w:color w:val="000000"/>
          <w:sz w:val="32"/>
          <w:szCs w:val="32"/>
          <w:shd w:val="clear" w:color="auto" w:fill="FFFFFF"/>
          <w:lang w:val="en-US" w:eastAsia="zh-CN"/>
        </w:rPr>
      </w:pPr>
    </w:p>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3"/>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624152"/>
    <w:rsid w:val="029F7839"/>
    <w:rsid w:val="02A626C3"/>
    <w:rsid w:val="02CD1F70"/>
    <w:rsid w:val="03F87FAD"/>
    <w:rsid w:val="054C528D"/>
    <w:rsid w:val="063E335E"/>
    <w:rsid w:val="06CE1DB6"/>
    <w:rsid w:val="07343602"/>
    <w:rsid w:val="08380156"/>
    <w:rsid w:val="089468A6"/>
    <w:rsid w:val="08A059D4"/>
    <w:rsid w:val="092B1742"/>
    <w:rsid w:val="0A6313FE"/>
    <w:rsid w:val="0A995D1E"/>
    <w:rsid w:val="0BB85A80"/>
    <w:rsid w:val="0C413E05"/>
    <w:rsid w:val="0CD65636"/>
    <w:rsid w:val="0D5E4BDB"/>
    <w:rsid w:val="0EBB6A07"/>
    <w:rsid w:val="11752DC3"/>
    <w:rsid w:val="123F6C45"/>
    <w:rsid w:val="12B21E72"/>
    <w:rsid w:val="12B72298"/>
    <w:rsid w:val="140A6C8D"/>
    <w:rsid w:val="14662A55"/>
    <w:rsid w:val="14C01BB7"/>
    <w:rsid w:val="154F0566"/>
    <w:rsid w:val="18CD7AAB"/>
    <w:rsid w:val="19145D4E"/>
    <w:rsid w:val="195725A1"/>
    <w:rsid w:val="19811CA4"/>
    <w:rsid w:val="1A9537EF"/>
    <w:rsid w:val="1AAF4C8E"/>
    <w:rsid w:val="1AEF6A73"/>
    <w:rsid w:val="1BB43819"/>
    <w:rsid w:val="1C204A0A"/>
    <w:rsid w:val="1DED114E"/>
    <w:rsid w:val="1E8E0351"/>
    <w:rsid w:val="1EA628CB"/>
    <w:rsid w:val="1EF9220D"/>
    <w:rsid w:val="20315438"/>
    <w:rsid w:val="20D91506"/>
    <w:rsid w:val="2100305C"/>
    <w:rsid w:val="211D7F0D"/>
    <w:rsid w:val="21C978F2"/>
    <w:rsid w:val="255D0A7D"/>
    <w:rsid w:val="26013AFE"/>
    <w:rsid w:val="26323CB8"/>
    <w:rsid w:val="26B4291F"/>
    <w:rsid w:val="270C4509"/>
    <w:rsid w:val="27901592"/>
    <w:rsid w:val="28CF2A97"/>
    <w:rsid w:val="28E2190E"/>
    <w:rsid w:val="291B48BD"/>
    <w:rsid w:val="29975BE1"/>
    <w:rsid w:val="299E0007"/>
    <w:rsid w:val="2A573BDF"/>
    <w:rsid w:val="2A9E7319"/>
    <w:rsid w:val="2AAB3FD6"/>
    <w:rsid w:val="2BEF2700"/>
    <w:rsid w:val="2C7C5C8D"/>
    <w:rsid w:val="2CF55A3F"/>
    <w:rsid w:val="2DB94CBF"/>
    <w:rsid w:val="30061BEA"/>
    <w:rsid w:val="302169BE"/>
    <w:rsid w:val="302A3C52"/>
    <w:rsid w:val="32A65A42"/>
    <w:rsid w:val="32A934AD"/>
    <w:rsid w:val="344145B8"/>
    <w:rsid w:val="34E678CE"/>
    <w:rsid w:val="355C7D01"/>
    <w:rsid w:val="35B244CD"/>
    <w:rsid w:val="36272711"/>
    <w:rsid w:val="379625EB"/>
    <w:rsid w:val="380F56D2"/>
    <w:rsid w:val="38C153DB"/>
    <w:rsid w:val="39761CB6"/>
    <w:rsid w:val="39D52E80"/>
    <w:rsid w:val="3A3E577E"/>
    <w:rsid w:val="3B693EDC"/>
    <w:rsid w:val="3BD05B98"/>
    <w:rsid w:val="3E016A5C"/>
    <w:rsid w:val="3F163D1F"/>
    <w:rsid w:val="3FBC2A98"/>
    <w:rsid w:val="40161500"/>
    <w:rsid w:val="41260B15"/>
    <w:rsid w:val="41766CF7"/>
    <w:rsid w:val="41CE268F"/>
    <w:rsid w:val="425132C0"/>
    <w:rsid w:val="42D02437"/>
    <w:rsid w:val="434B4E7B"/>
    <w:rsid w:val="43D87FA5"/>
    <w:rsid w:val="44135A75"/>
    <w:rsid w:val="445F3443"/>
    <w:rsid w:val="449D1A4E"/>
    <w:rsid w:val="460F3276"/>
    <w:rsid w:val="4630379B"/>
    <w:rsid w:val="46924213"/>
    <w:rsid w:val="46A95479"/>
    <w:rsid w:val="4740402F"/>
    <w:rsid w:val="48095C7F"/>
    <w:rsid w:val="48A00AFD"/>
    <w:rsid w:val="492478B1"/>
    <w:rsid w:val="49424916"/>
    <w:rsid w:val="49DA3B9B"/>
    <w:rsid w:val="4B166E55"/>
    <w:rsid w:val="4B274378"/>
    <w:rsid w:val="4B7A3887"/>
    <w:rsid w:val="4D5B504C"/>
    <w:rsid w:val="4DAB06D4"/>
    <w:rsid w:val="4E7E71EB"/>
    <w:rsid w:val="4EFF070B"/>
    <w:rsid w:val="51A258E6"/>
    <w:rsid w:val="52AA7F8E"/>
    <w:rsid w:val="5311062D"/>
    <w:rsid w:val="53677484"/>
    <w:rsid w:val="537E1A3B"/>
    <w:rsid w:val="53A400D4"/>
    <w:rsid w:val="541F321E"/>
    <w:rsid w:val="542176CB"/>
    <w:rsid w:val="544762D1"/>
    <w:rsid w:val="56603486"/>
    <w:rsid w:val="56EC1644"/>
    <w:rsid w:val="58201313"/>
    <w:rsid w:val="58782EFD"/>
    <w:rsid w:val="589E0EC5"/>
    <w:rsid w:val="58C25CA9"/>
    <w:rsid w:val="58E3481A"/>
    <w:rsid w:val="597E4543"/>
    <w:rsid w:val="5ADE3F88"/>
    <w:rsid w:val="5AF004BF"/>
    <w:rsid w:val="5BB10BFF"/>
    <w:rsid w:val="5BB4249E"/>
    <w:rsid w:val="5C3A6E47"/>
    <w:rsid w:val="5C5269B9"/>
    <w:rsid w:val="5EDB5F93"/>
    <w:rsid w:val="60196D73"/>
    <w:rsid w:val="62D073DE"/>
    <w:rsid w:val="63CE4319"/>
    <w:rsid w:val="64754794"/>
    <w:rsid w:val="64D8544F"/>
    <w:rsid w:val="667271DD"/>
    <w:rsid w:val="67BF41E6"/>
    <w:rsid w:val="680570D2"/>
    <w:rsid w:val="6865349E"/>
    <w:rsid w:val="68703BF0"/>
    <w:rsid w:val="687E6956"/>
    <w:rsid w:val="6AD06BC8"/>
    <w:rsid w:val="6B805304"/>
    <w:rsid w:val="6BA41D27"/>
    <w:rsid w:val="6C665881"/>
    <w:rsid w:val="6C6B607E"/>
    <w:rsid w:val="71AB38CC"/>
    <w:rsid w:val="72346306"/>
    <w:rsid w:val="72B50B7E"/>
    <w:rsid w:val="73D72D76"/>
    <w:rsid w:val="740C6EC3"/>
    <w:rsid w:val="74116287"/>
    <w:rsid w:val="74B104BE"/>
    <w:rsid w:val="752B5127"/>
    <w:rsid w:val="75D67789"/>
    <w:rsid w:val="75E55862"/>
    <w:rsid w:val="761C7166"/>
    <w:rsid w:val="766308F1"/>
    <w:rsid w:val="7682346D"/>
    <w:rsid w:val="76872831"/>
    <w:rsid w:val="76E54287"/>
    <w:rsid w:val="772E3D3E"/>
    <w:rsid w:val="774A2881"/>
    <w:rsid w:val="77AD2837"/>
    <w:rsid w:val="77CB0E43"/>
    <w:rsid w:val="78202F3D"/>
    <w:rsid w:val="784F55D0"/>
    <w:rsid w:val="78CE2999"/>
    <w:rsid w:val="79211120"/>
    <w:rsid w:val="795C61F7"/>
    <w:rsid w:val="798412AA"/>
    <w:rsid w:val="79DC2E94"/>
    <w:rsid w:val="7D553689"/>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9"/>
    <w:pPr>
      <w:keepNext/>
      <w:keepLines/>
      <w:spacing w:line="360" w:lineRule="auto"/>
      <w:jc w:val="left"/>
      <w:outlineLvl w:val="0"/>
    </w:pPr>
    <w:rPr>
      <w:bCs/>
      <w:kern w:val="44"/>
      <w:sz w:val="2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5">
    <w:name w:val="heading 3"/>
    <w:basedOn w:val="1"/>
    <w:next w:val="1"/>
    <w:link w:val="41"/>
    <w:unhideWhenUsed/>
    <w:qFormat/>
    <w:uiPriority w:val="9"/>
    <w:pPr>
      <w:keepNext/>
      <w:keepLines/>
      <w:spacing w:before="260" w:after="260" w:line="416" w:lineRule="auto"/>
      <w:outlineLvl w:val="2"/>
    </w:pPr>
    <w:rPr>
      <w:b/>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utoSpaceDE/>
      <w:autoSpaceDN/>
      <w:adjustRightInd/>
      <w:spacing w:before="25" w:after="25"/>
      <w:jc w:val="both"/>
    </w:pPr>
    <w:rPr>
      <w:rFonts w:ascii="Times New Roman"/>
      <w:bCs/>
      <w:spacing w:val="10"/>
      <w:kern w:val="2"/>
      <w:sz w:val="21"/>
      <w:szCs w:val="20"/>
    </w:rPr>
  </w:style>
  <w:style w:type="paragraph" w:styleId="6">
    <w:name w:val="Document Map"/>
    <w:basedOn w:val="1"/>
    <w:link w:val="29"/>
    <w:semiHidden/>
    <w:unhideWhenUsed/>
    <w:qFormat/>
    <w:uiPriority w:val="99"/>
    <w:rPr>
      <w:rFonts w:ascii="宋体" w:eastAsia="宋体"/>
      <w:sz w:val="18"/>
      <w:szCs w:val="18"/>
    </w:rPr>
  </w:style>
  <w:style w:type="paragraph" w:styleId="7">
    <w:name w:val="annotation text"/>
    <w:basedOn w:val="1"/>
    <w:link w:val="37"/>
    <w:semiHidden/>
    <w:unhideWhenUsed/>
    <w:qFormat/>
    <w:uiPriority w:val="99"/>
    <w:pPr>
      <w:jc w:val="left"/>
    </w:pPr>
  </w:style>
  <w:style w:type="paragraph" w:styleId="8">
    <w:name w:val="Body Text"/>
    <w:basedOn w:val="1"/>
    <w:link w:val="45"/>
    <w:qFormat/>
    <w:uiPriority w:val="99"/>
    <w:rPr>
      <w:szCs w:val="20"/>
    </w:rPr>
  </w:style>
  <w:style w:type="paragraph" w:styleId="9">
    <w:name w:val="Body Text Indent"/>
    <w:basedOn w:val="1"/>
    <w:next w:val="10"/>
    <w:qFormat/>
    <w:uiPriority w:val="0"/>
    <w:pPr>
      <w:widowControl w:val="0"/>
      <w:spacing w:after="120"/>
      <w:ind w:left="420" w:leftChars="200"/>
      <w:jc w:val="both"/>
    </w:pPr>
    <w:rPr>
      <w:rFonts w:ascii="Times New Roman" w:hAnsi="Times New Roman" w:cs="Times New Roman"/>
      <w:kern w:val="2"/>
      <w:sz w:val="21"/>
    </w:rPr>
  </w:style>
  <w:style w:type="paragraph" w:customStyle="1" w:styleId="10">
    <w:name w:val="样式 正文文本缩进 + 首行缩进:  2 字符 行距: 1.5 倍行距"/>
    <w:basedOn w:val="9"/>
    <w:qFormat/>
    <w:uiPriority w:val="0"/>
    <w:rPr>
      <w:rFonts w:cs="宋体"/>
    </w:rPr>
  </w:style>
  <w:style w:type="paragraph" w:styleId="11">
    <w:name w:val="Date"/>
    <w:basedOn w:val="1"/>
    <w:next w:val="1"/>
    <w:link w:val="30"/>
    <w:semiHidden/>
    <w:unhideWhenUsed/>
    <w:qFormat/>
    <w:uiPriority w:val="99"/>
    <w:pPr>
      <w:ind w:left="100" w:leftChars="2500"/>
    </w:pPr>
  </w:style>
  <w:style w:type="paragraph" w:styleId="12">
    <w:name w:val="Balloon Text"/>
    <w:basedOn w:val="1"/>
    <w:link w:val="39"/>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7"/>
    <w:next w:val="7"/>
    <w:link w:val="38"/>
    <w:semiHidden/>
    <w:unhideWhenUsed/>
    <w:qFormat/>
    <w:uiPriority w:val="99"/>
    <w:rPr>
      <w:b/>
      <w:bCs/>
    </w:rPr>
  </w:style>
  <w:style w:type="paragraph" w:styleId="17">
    <w:name w:val="Body Text First Indent 2"/>
    <w:basedOn w:val="9"/>
    <w:next w:val="18"/>
    <w:unhideWhenUsed/>
    <w:qFormat/>
    <w:uiPriority w:val="99"/>
    <w:pPr>
      <w:ind w:firstLine="420" w:firstLineChars="200"/>
    </w:pPr>
  </w:style>
  <w:style w:type="paragraph" w:customStyle="1" w:styleId="18">
    <w:name w:val="**正文"/>
    <w:basedOn w:val="1"/>
    <w:qFormat/>
    <w:uiPriority w:val="0"/>
    <w:pPr>
      <w:widowControl w:val="0"/>
      <w:ind w:firstLine="482"/>
      <w:jc w:val="both"/>
    </w:pPr>
    <w:rPr>
      <w:rFonts w:cs="Times New Roman"/>
      <w:kern w:val="2"/>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u w:val="single"/>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styleId="25">
    <w:name w:val="annotation reference"/>
    <w:basedOn w:val="21"/>
    <w:semiHidden/>
    <w:unhideWhenUsed/>
    <w:qFormat/>
    <w:uiPriority w:val="99"/>
    <w:rPr>
      <w:sz w:val="21"/>
      <w:szCs w:val="21"/>
    </w:rPr>
  </w:style>
  <w:style w:type="character" w:customStyle="1" w:styleId="26">
    <w:name w:val="页眉 字符"/>
    <w:basedOn w:val="21"/>
    <w:link w:val="14"/>
    <w:qFormat/>
    <w:uiPriority w:val="99"/>
    <w:rPr>
      <w:sz w:val="18"/>
      <w:szCs w:val="18"/>
    </w:rPr>
  </w:style>
  <w:style w:type="character" w:customStyle="1" w:styleId="27">
    <w:name w:val="页脚 字符"/>
    <w:basedOn w:val="21"/>
    <w:link w:val="13"/>
    <w:qFormat/>
    <w:uiPriority w:val="99"/>
    <w:rPr>
      <w:sz w:val="18"/>
      <w:szCs w:val="18"/>
    </w:rPr>
  </w:style>
  <w:style w:type="paragraph" w:styleId="28">
    <w:name w:val="List Paragraph"/>
    <w:basedOn w:val="1"/>
    <w:qFormat/>
    <w:uiPriority w:val="34"/>
    <w:pPr>
      <w:ind w:firstLine="420" w:firstLineChars="200"/>
    </w:pPr>
  </w:style>
  <w:style w:type="character" w:customStyle="1" w:styleId="29">
    <w:name w:val="文档结构图 字符"/>
    <w:basedOn w:val="21"/>
    <w:link w:val="6"/>
    <w:semiHidden/>
    <w:qFormat/>
    <w:uiPriority w:val="99"/>
    <w:rPr>
      <w:rFonts w:ascii="宋体" w:eastAsia="宋体"/>
      <w:sz w:val="18"/>
      <w:szCs w:val="18"/>
    </w:rPr>
  </w:style>
  <w:style w:type="character" w:customStyle="1" w:styleId="30">
    <w:name w:val="日期 字符"/>
    <w:basedOn w:val="21"/>
    <w:link w:val="11"/>
    <w:semiHidden/>
    <w:qFormat/>
    <w:uiPriority w:val="99"/>
  </w:style>
  <w:style w:type="character" w:customStyle="1" w:styleId="31">
    <w:name w:val="标题 2 字符"/>
    <w:basedOn w:val="21"/>
    <w:link w:val="4"/>
    <w:qFormat/>
    <w:uiPriority w:val="0"/>
    <w:rPr>
      <w:rFonts w:asciiTheme="majorHAnsi" w:hAnsiTheme="majorHAnsi" w:eastAsiaTheme="majorEastAsia" w:cstheme="majorBidi"/>
      <w:b/>
      <w:bCs/>
      <w:kern w:val="2"/>
      <w:sz w:val="30"/>
      <w:szCs w:val="32"/>
    </w:rPr>
  </w:style>
  <w:style w:type="character" w:customStyle="1" w:styleId="32">
    <w:name w:val="标题 1 字符"/>
    <w:basedOn w:val="21"/>
    <w:link w:val="3"/>
    <w:qFormat/>
    <w:uiPriority w:val="9"/>
    <w:rPr>
      <w:bCs/>
      <w:kern w:val="44"/>
      <w:sz w:val="24"/>
      <w:szCs w:val="44"/>
    </w:rPr>
  </w:style>
  <w:style w:type="paragraph" w:customStyle="1" w:styleId="33">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4">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5">
    <w:name w:val="正文-2字符首行缩进"/>
    <w:basedOn w:val="1"/>
    <w:link w:val="36"/>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6">
    <w:name w:val="正文-2字符首行缩进 Char"/>
    <w:link w:val="35"/>
    <w:qFormat/>
    <w:uiPriority w:val="0"/>
    <w:rPr>
      <w:rFonts w:ascii="仿宋_GB2312" w:hAnsi="Calibri" w:eastAsia="仿宋_GB2312" w:cs="Times New Roman"/>
      <w:sz w:val="28"/>
      <w:szCs w:val="22"/>
    </w:rPr>
  </w:style>
  <w:style w:type="character" w:customStyle="1" w:styleId="37">
    <w:name w:val="批注文字 字符"/>
    <w:basedOn w:val="21"/>
    <w:link w:val="7"/>
    <w:semiHidden/>
    <w:qFormat/>
    <w:uiPriority w:val="99"/>
    <w:rPr>
      <w:kern w:val="2"/>
      <w:sz w:val="21"/>
      <w:szCs w:val="22"/>
    </w:rPr>
  </w:style>
  <w:style w:type="character" w:customStyle="1" w:styleId="38">
    <w:name w:val="批注主题 字符"/>
    <w:basedOn w:val="37"/>
    <w:link w:val="16"/>
    <w:semiHidden/>
    <w:qFormat/>
    <w:uiPriority w:val="99"/>
    <w:rPr>
      <w:b/>
      <w:bCs/>
      <w:kern w:val="2"/>
      <w:sz w:val="21"/>
      <w:szCs w:val="22"/>
    </w:rPr>
  </w:style>
  <w:style w:type="character" w:customStyle="1" w:styleId="39">
    <w:name w:val="批注框文本 字符"/>
    <w:basedOn w:val="21"/>
    <w:link w:val="12"/>
    <w:semiHidden/>
    <w:qFormat/>
    <w:uiPriority w:val="99"/>
    <w:rPr>
      <w:kern w:val="2"/>
      <w:sz w:val="18"/>
      <w:szCs w:val="18"/>
    </w:rPr>
  </w:style>
  <w:style w:type="character" w:customStyle="1" w:styleId="40">
    <w:name w:val="未处理的提及1"/>
    <w:basedOn w:val="21"/>
    <w:semiHidden/>
    <w:unhideWhenUsed/>
    <w:qFormat/>
    <w:uiPriority w:val="99"/>
    <w:rPr>
      <w:color w:val="605E5C"/>
      <w:shd w:val="clear" w:color="auto" w:fill="E1DFDD"/>
    </w:rPr>
  </w:style>
  <w:style w:type="character" w:customStyle="1" w:styleId="41">
    <w:name w:val="标题 3 字符"/>
    <w:basedOn w:val="21"/>
    <w:link w:val="5"/>
    <w:qFormat/>
    <w:uiPriority w:val="9"/>
    <w:rPr>
      <w:b/>
      <w:bCs/>
      <w:kern w:val="2"/>
      <w:sz w:val="28"/>
      <w:szCs w:val="32"/>
    </w:rPr>
  </w:style>
  <w:style w:type="table" w:customStyle="1" w:styleId="42">
    <w:name w:val="TableGrid"/>
    <w:qFormat/>
    <w:uiPriority w:val="0"/>
    <w:rPr>
      <w:kern w:val="2"/>
      <w:sz w:val="21"/>
      <w:szCs w:val="22"/>
    </w:rPr>
    <w:tblPr>
      <w:tblCellMar>
        <w:top w:w="0" w:type="dxa"/>
        <w:left w:w="0" w:type="dxa"/>
        <w:bottom w:w="0" w:type="dxa"/>
        <w:right w:w="0" w:type="dxa"/>
      </w:tblCellMar>
    </w:tblPr>
  </w:style>
  <w:style w:type="table" w:customStyle="1" w:styleId="43">
    <w:name w:val="网格型1"/>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TableGrid1"/>
    <w:qFormat/>
    <w:uiPriority w:val="0"/>
    <w:rPr>
      <w:kern w:val="2"/>
      <w:sz w:val="21"/>
      <w:szCs w:val="22"/>
    </w:rPr>
    <w:tblPr>
      <w:tblCellMar>
        <w:top w:w="0" w:type="dxa"/>
        <w:left w:w="0" w:type="dxa"/>
        <w:bottom w:w="0" w:type="dxa"/>
        <w:right w:w="0" w:type="dxa"/>
      </w:tblCellMar>
    </w:tblPr>
  </w:style>
  <w:style w:type="character" w:customStyle="1" w:styleId="45">
    <w:name w:val="正文文本 字符"/>
    <w:basedOn w:val="21"/>
    <w:link w:val="8"/>
    <w:qFormat/>
    <w:uiPriority w:val="99"/>
    <w:rPr>
      <w:kern w:val="2"/>
      <w:sz w:val="21"/>
    </w:rPr>
  </w:style>
  <w:style w:type="paragraph" w:customStyle="1" w:styleId="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9">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2">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3">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1">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2">
    <w:name w:val="font71"/>
    <w:basedOn w:val="21"/>
    <w:qFormat/>
    <w:uiPriority w:val="0"/>
    <w:rPr>
      <w:rFonts w:ascii="Calibri" w:hAnsi="Calibri" w:cs="Calibri"/>
      <w:color w:val="000000"/>
      <w:sz w:val="22"/>
      <w:szCs w:val="22"/>
      <w:u w:val="none"/>
    </w:rPr>
  </w:style>
  <w:style w:type="character" w:customStyle="1" w:styleId="73">
    <w:name w:val="font81"/>
    <w:basedOn w:val="21"/>
    <w:qFormat/>
    <w:uiPriority w:val="0"/>
    <w:rPr>
      <w:rFonts w:hint="eastAsia" w:ascii="宋体" w:hAnsi="宋体" w:eastAsia="宋体" w:cs="宋体"/>
      <w:color w:val="000000"/>
      <w:sz w:val="22"/>
      <w:szCs w:val="22"/>
      <w:u w:val="none"/>
    </w:rPr>
  </w:style>
  <w:style w:type="character" w:customStyle="1" w:styleId="74">
    <w:name w:val="font61"/>
    <w:basedOn w:val="21"/>
    <w:qFormat/>
    <w:uiPriority w:val="0"/>
    <w:rPr>
      <w:rFonts w:hint="default" w:ascii="Calibri" w:hAnsi="Calibri" w:cs="Calibri"/>
      <w:color w:val="auto"/>
      <w:sz w:val="22"/>
      <w:szCs w:val="22"/>
      <w:u w:val="none"/>
    </w:rPr>
  </w:style>
  <w:style w:type="character" w:customStyle="1" w:styleId="75">
    <w:name w:val="font51"/>
    <w:basedOn w:val="21"/>
    <w:qFormat/>
    <w:uiPriority w:val="0"/>
    <w:rPr>
      <w:rFonts w:hint="eastAsia" w:ascii="宋体" w:hAnsi="宋体" w:eastAsia="宋体" w:cs="宋体"/>
      <w:color w:val="auto"/>
      <w:sz w:val="22"/>
      <w:szCs w:val="22"/>
      <w:u w:val="none"/>
    </w:rPr>
  </w:style>
  <w:style w:type="character" w:customStyle="1" w:styleId="76">
    <w:name w:val="font91"/>
    <w:basedOn w:val="21"/>
    <w:qFormat/>
    <w:uiPriority w:val="0"/>
    <w:rPr>
      <w:rFonts w:hint="eastAsia" w:ascii="宋体" w:hAnsi="宋体" w:eastAsia="宋体" w:cs="宋体"/>
      <w:color w:val="000000"/>
      <w:sz w:val="22"/>
      <w:szCs w:val="22"/>
      <w:u w:val="none"/>
    </w:rPr>
  </w:style>
  <w:style w:type="character" w:customStyle="1" w:styleId="77">
    <w:name w:val="font41"/>
    <w:basedOn w:val="2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1284</Words>
  <Characters>1321</Characters>
  <Lines>8</Lines>
  <Paragraphs>2</Paragraphs>
  <TotalTime>18</TotalTime>
  <ScaleCrop>false</ScaleCrop>
  <LinksUpToDate>false</LinksUpToDate>
  <CharactersWithSpaces>1385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sehun</cp:lastModifiedBy>
  <cp:lastPrinted>2020-04-08T06:08:00Z</cp:lastPrinted>
  <dcterms:modified xsi:type="dcterms:W3CDTF">2025-02-13T07:25:02Z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1C505DB6A58949F3800375846591077B_13</vt:lpwstr>
  </property>
  <property fmtid="{D5CDD505-2E9C-101B-9397-08002B2CF9AE}" pid="4" name="KSOTemplateDocerSaveRecord">
    <vt:lpwstr>eyJoZGlkIjoiYzhhNTE4YjcwMGJiOTFkZTAxZjkzNGJlNDI1YjVhODgiLCJ1c2VySWQiOiI0MTM2OTYwODMifQ==</vt:lpwstr>
  </property>
</Properties>
</file>