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default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3：设备参数</w:t>
      </w:r>
    </w:p>
    <w:p>
      <w:pPr>
        <w:pStyle w:val="5"/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项目名称：血透用水处理系统采购</w:t>
      </w:r>
    </w:p>
    <w:p>
      <w:pPr>
        <w:pStyle w:val="5"/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需求明细表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136"/>
        <w:gridCol w:w="698"/>
        <w:gridCol w:w="698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标项号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标的名称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预算价（万元）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血透用水处理系统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280</w:t>
            </w:r>
          </w:p>
        </w:tc>
      </w:tr>
    </w:tbl>
    <w:p>
      <w:pPr>
        <w:pStyle w:val="5"/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技术参数</w:t>
      </w:r>
    </w:p>
    <w:tbl>
      <w:tblPr>
        <w:tblStyle w:val="14"/>
        <w:tblpPr w:leftFromText="180" w:rightFromText="180" w:vertAnchor="text" w:horzAnchor="page" w:tblpXSpec="center" w:tblpY="32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451"/>
        <w:gridCol w:w="6591"/>
        <w:gridCol w:w="452"/>
        <w:gridCol w:w="452"/>
        <w:gridCol w:w="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技术参数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  <w:lang w:eastAsia="zh-CN"/>
              </w:rPr>
              <w:t>预算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价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血透用水处理系统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一、系统功能要求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1.水处理系统为血液透析专用单台双级反渗系统，非两台单级反渗主机串联组装。全闭路循环管路供水，循环末端回流至反渗系统进水端，整个系统内无反渗水储水装置（直供水型）。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2.单台双级反渗主机的反渗膜单元≧8支，产水量在低水温情况下，6℃时达3600L/小时，能保证在低温情况下80台血透机用水需要。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3.反渗机出水端口和循环管路末端口的水质始终达到：细菌＜100CFU/ml，内毒素＜0.25IU/ml。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4.反渗主机具备高温排放功能。当反渗水温度超过35℃（可设定值，区间是20-35℃）时，系统自动排放浓水直到温度降到设定的低限温度以下。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5.反渗主机具备高水温报警。并具有自动排放温度超限反渗水。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6.前处理具备漏水保护功能，漏水发生时会自动切断进水，确保血透室用水安全。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★7.反渗主机前后两级均采用8040标准膜单元, 反渗主机内管路及反渗膜壳采用316L不锈钢材质保证透析用水品质.延长反渗膜使用寿命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8.反渗主机和反渗水输送管路可以同步进行全自动化学消毒，消毒后能全自动冲洗干净所有消毒液，保证冲洗后无任何化学消毒液的残留。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9.单台双级反渗主机采用3个进口高品质定频风冷高压离心泵（非潜水泵），提供足够的后备冗余，保证反渗主机能够长时间连续运行与设备电磁兼容性安全。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10.菜单引导的控制系统可设定自动开关机，自动运行，反渗主机具备不透析期间待机模式功能，待机模式下能够定时自动冲洗反渗膜及输水环路。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11.反渗主机具备关机冲洗功能，能够在转到待机模式前对系统进行全面冲洗，避免污染物和微生物在反渗膜上附着。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12.泄漏安全性，水处理系统待机模式下具备反渗主机和管道的泄漏监测及报警。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13.反渗主机根据系统回收率来决定是否排放浓水，达到提高回收率，同时避免膜表面过度污染。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14.反渗机具备脉动强冲功能，在消毒、清洁、待机模式下提高管路系统内的流速。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15.二级反渗系统前后每一级都可分别单独使用，提供最大的使用灵活性及保障设备运行的安全与稳定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16. 具备SFDA国产医疗器械注册证，注册证上结构与组成一栏明确注明整套系统包含前处理、反渗主机、反渗水管路和软件组成。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17.预处理设计科学，罐体、控制头和填料都必须采用高品质的产品，且搭配合理。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18.反渗主机具备高水温报警。并具有自动排放温度超限反渗水。 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二、设备配置要求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反渗主机配置：1台，包含：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★1.原装一体双级反渗主机，双级反渗主机前后两级串联出水，出水量在水温6℃时达3600L/小时，满足低水温情况下透析用水需要。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2.反渗机内管路及反渗膜壳全部使用耐腐蚀的316L不锈钢，在潮湿及化学消毒剂环境中保持不锈不腐，防止泄露，保证可靠性。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3.二级反渗透主机的前后二级反渗系统可以分别单独使用，提高设备使用的灵活性，保障设备运行的安全与稳定。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4.采用无死腔膜壳设计，进水口、纯水出水口和浓水出水口均位于膜壳的上部，确保壳体内没有水的滞留，降低浓水侧细菌滋生风险。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5.单台双级反渗机采用3个高品质风冷高压离心泵，提供科学的压力控制，保证反渗膜长期稳定的渗透能力，提供高品质透析用水。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6.反渗主机的消毒操作是菜单引导式的，操作员通过程序一步一步引导来进行消毒。有关功能和安全的行为都是由操作员进行，而且都要经过菜单的首先确认。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反渗机具备高温排放功能。当反渗水温度超过35℃（可设定值，区间是20-35℃）时，系统自动排放浓水直到温度降到设定的低限温度以下。系统显示器上显示温度过高的报警，当超过设定温度持续3分钟以上时，系统关闭。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8.反渗机能在电脑（CPU）控制下全自动运行，可设定自动开关机，自动运行。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反渗机具备不透析期间待机模式功能，待机模式下能够定时自动冲洗反渗膜及输水环路。反渗机具备脉动强冲功能，在消毒、清洁、待机模式下提高管路系统内的流速，这种快速冲洗有助于将每个用水点的消毒剂快速冲洗干净，也可以抑制夜间不透析期间管路内细菌滋生。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10.反渗机具备关机冲洗功能，能够在转到待机模式前对系统进行全面冲洗，避免污染物和微生物在反渗膜上附着。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11.反渗机具备泄漏安全保护。反渗机不工作时具备反渗主机和管道的泄漏监测及报警。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★12.反渗机根据进水硬度预设系统回收率来控制浓水排放，回收率最高可达90%。保证系统在高回收率的工作状态下避免膜表面过度污染。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13.具有经济运行模式。可根据当前用水量来打开或者关闭泵。在血透机不耗反渗水时，反渗主机排水量也为零。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系统采用LCD文本显示系统和信号灯指示系统。“故障”灯亮时，在显示屏上同时出现故障的类型，显示每个故障时均有说明。文本显示器可查阅和变更所有关键参数，并可查询所有重要的运行时间，输入新的参数值受密码保护。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预处理配置：1套，每套包含：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1.预处理软水能力8000L/H。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2.预处理增压系统采用变频控制动态稳压，全自动加压泵组件2台；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3.前置全自动反冲过滤器（免滤芯更换）：1套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4.全自动砂滤（铁质）过滤器：1套，带时间控制全自动/手动反冲装置，使用软管连接，提升管路安全性和操作便捷性，配置多种滤料，添加锰砂，去除水中的铁锰杂质。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5.全自动除氯（活性炭）过滤器：2套，带时间控制全自动/手动反冲装置，使用软管连接，提升管路安全性和操作便捷性，使用碘值不低于1050的活性炭。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6.全自动软水器：1套，带流量控制全自动/手动的反冲/再生装置，双罐配置，使用软管连接，提升管路安全性和操作便捷性，使用树脂的总交换容量不低于2eq/L。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7.树脂罐（软水器）采用双罐并联设计：当一树脂罐树脂再生时，可用另一树脂罐，避免直接用硬水进行反渗透，导致反渗膜的使用寿命降低。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8.全自动活性炭罐位置：放置在树脂罐（软水器）之后，保证余氯存在于前处理整个过程中，避免细菌滋生，保证水质安全，保护反渗膜。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反渗水供水管路（HP-UPVC）配置：1套。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1.反渗水管路采用高品质高纯度HP-UPVC管道，不锈不腐，不含双酚A，不含塑化剂，</w:t>
            </w:r>
          </w:p>
          <w:p>
            <w:pPr>
              <w:pStyle w:val="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2.所有反渗水出口模块采用U型无死腔出水口，管路中无死腔存在（有别于普通T型管连接方式），确保夜间不透析期间管路系统从干管到支管都无水滞留，避免细菌滋生，且反渗水出口采用快速接头的方式，快速接头的材质为进口316不锈钢，具有自动锁闭功能（即血透机断开后，反渗水自动停止流出，无需额外增加球阀）。</w:t>
            </w:r>
          </w:p>
          <w:p>
            <w:pPr>
              <w:pStyle w:val="5"/>
              <w:numPr>
                <w:ilvl w:val="0"/>
                <w:numId w:val="1"/>
              </w:numPr>
              <w:spacing w:beforeAutospacing="0"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水处理机配置清单：</w:t>
            </w:r>
          </w:p>
          <w:tbl>
            <w:tblPr>
              <w:tblStyle w:val="13"/>
              <w:tblpPr w:leftFromText="180" w:rightFromText="180" w:vertAnchor="text" w:horzAnchor="page" w:tblpXSpec="center" w:tblpY="260"/>
              <w:tblOverlap w:val="never"/>
              <w:tblW w:w="651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47"/>
              <w:gridCol w:w="2446"/>
              <w:gridCol w:w="1980"/>
              <w:gridCol w:w="113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12"/>
                    <w:spacing w:line="360" w:lineRule="exact"/>
                    <w:ind w:right="90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12"/>
                    <w:spacing w:line="360" w:lineRule="exact"/>
                    <w:ind w:right="90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12"/>
                    <w:spacing w:line="360" w:lineRule="exact"/>
                    <w:ind w:right="90"/>
                    <w:rPr>
                      <w:rFonts w:hint="eastAsia" w:eastAsia="宋体" w:cs="Times New Roman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需求</w:t>
                  </w:r>
                </w:p>
              </w:tc>
              <w:tc>
                <w:tcPr>
                  <w:tcW w:w="1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12"/>
                    <w:spacing w:line="360" w:lineRule="exact"/>
                    <w:ind w:right="90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12"/>
                    <w:spacing w:line="360" w:lineRule="exact"/>
                    <w:ind w:right="90"/>
                    <w:jc w:val="center"/>
                  </w:pPr>
                  <w:r>
                    <w:t>1</w:t>
                  </w:r>
                </w:p>
              </w:tc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Segoe UI" w:hAnsi="仿宋" w:eastAsia="仿宋"/>
                      <w:sz w:val="22"/>
                      <w:szCs w:val="22"/>
                    </w:rPr>
                  </w:pPr>
                  <w:r>
                    <w:rPr>
                      <w:rFonts w:hint="eastAsia" w:ascii="Segoe UI" w:hAnsi="仿宋" w:eastAsia="仿宋" w:cs="仿宋"/>
                      <w:color w:val="000000"/>
                      <w:sz w:val="22"/>
                      <w:szCs w:val="22"/>
                    </w:rPr>
                    <w:t>前置过滤器</w:t>
                  </w:r>
                </w:p>
              </w:tc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Segoe UI" w:hAnsi="仿宋" w:eastAsia="仿宋" w:cs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Segoe UI" w:hAnsi="仿宋" w:eastAsia="仿宋" w:cs="仿宋"/>
                      <w:color w:val="000000"/>
                      <w:sz w:val="22"/>
                      <w:szCs w:val="22"/>
                    </w:rPr>
                    <w:t>全自动可反冲式过滤器，</w:t>
                  </w:r>
                </w:p>
              </w:tc>
              <w:tc>
                <w:tcPr>
                  <w:tcW w:w="1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Segoe UI" w:hAnsi="Segoe UI" w:eastAsia="仿宋"/>
                      <w:sz w:val="22"/>
                      <w:szCs w:val="22"/>
                    </w:rPr>
                  </w:pPr>
                  <w:r>
                    <w:rPr>
                      <w:rFonts w:ascii="Segoe UI" w:hAnsi="Segoe UI" w:eastAsia="仿宋" w:cs="Segoe UI"/>
                      <w:sz w:val="22"/>
                      <w:szCs w:val="22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12"/>
                    <w:spacing w:line="360" w:lineRule="exact"/>
                    <w:ind w:right="90"/>
                    <w:jc w:val="center"/>
                  </w:pPr>
                  <w:r>
                    <w:t>2</w:t>
                  </w:r>
                </w:p>
              </w:tc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Segoe UI" w:hAnsi="Segoe UI" w:eastAsia="仿宋"/>
                      <w:sz w:val="22"/>
                      <w:szCs w:val="22"/>
                    </w:rPr>
                  </w:pPr>
                  <w:r>
                    <w:rPr>
                      <w:rFonts w:hint="eastAsia" w:ascii="Segoe UI" w:hAnsi="仿宋" w:eastAsia="仿宋" w:cs="仿宋"/>
                      <w:color w:val="000000"/>
                      <w:sz w:val="22"/>
                      <w:szCs w:val="22"/>
                    </w:rPr>
                    <w:t>全自动前级加压泵组件</w:t>
                  </w:r>
                </w:p>
              </w:tc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22"/>
                      <w:szCs w:val="22"/>
                      <w:lang w:val="en-GB"/>
                    </w:rPr>
                    <w:t>CM10-4</w:t>
                  </w:r>
                </w:p>
              </w:tc>
              <w:tc>
                <w:tcPr>
                  <w:tcW w:w="1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Segoe UI" w:hAnsi="Segoe UI" w:eastAsia="仿宋"/>
                      <w:sz w:val="22"/>
                      <w:szCs w:val="22"/>
                    </w:rPr>
                  </w:pPr>
                  <w:r>
                    <w:rPr>
                      <w:rFonts w:ascii="Segoe UI" w:hAnsi="Segoe UI" w:eastAsia="仿宋" w:cs="Segoe UI"/>
                      <w:sz w:val="22"/>
                      <w:szCs w:val="22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12"/>
                    <w:spacing w:line="360" w:lineRule="exact"/>
                    <w:ind w:right="90"/>
                    <w:jc w:val="center"/>
                  </w:pPr>
                  <w:r>
                    <w:t>3</w:t>
                  </w:r>
                </w:p>
              </w:tc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Segoe UI" w:hAnsi="Segoe UI" w:eastAsia="仿宋"/>
                      <w:sz w:val="22"/>
                      <w:szCs w:val="22"/>
                    </w:rPr>
                  </w:pPr>
                  <w:r>
                    <w:rPr>
                      <w:rFonts w:hint="eastAsia" w:ascii="Segoe UI" w:hAnsi="仿宋" w:eastAsia="仿宋" w:cs="仿宋"/>
                      <w:color w:val="000000"/>
                      <w:sz w:val="22"/>
                      <w:szCs w:val="22"/>
                    </w:rPr>
                    <w:t>全自动砂滤罐</w:t>
                  </w:r>
                </w:p>
              </w:tc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22"/>
                      <w:szCs w:val="22"/>
                    </w:rPr>
                    <w:t xml:space="preserve">8000L/H        </w:t>
                  </w:r>
                </w:p>
              </w:tc>
              <w:tc>
                <w:tcPr>
                  <w:tcW w:w="1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Segoe UI" w:hAnsi="Segoe UI" w:eastAsia="仿宋"/>
                      <w:sz w:val="22"/>
                      <w:szCs w:val="22"/>
                    </w:rPr>
                  </w:pPr>
                  <w:r>
                    <w:rPr>
                      <w:rFonts w:ascii="Segoe UI" w:hAnsi="Segoe UI" w:eastAsia="仿宋" w:cs="Segoe UI"/>
                      <w:sz w:val="22"/>
                      <w:szCs w:val="22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12"/>
                    <w:spacing w:line="360" w:lineRule="exact"/>
                    <w:ind w:right="90"/>
                    <w:jc w:val="center"/>
                  </w:pPr>
                  <w:r>
                    <w:t>4</w:t>
                  </w:r>
                </w:p>
              </w:tc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Segoe UI" w:hAnsi="Segoe UI" w:eastAsia="仿宋"/>
                      <w:sz w:val="22"/>
                      <w:szCs w:val="22"/>
                    </w:rPr>
                  </w:pPr>
                  <w:r>
                    <w:rPr>
                      <w:rFonts w:hint="eastAsia" w:ascii="Segoe UI" w:hAnsi="仿宋" w:eastAsia="仿宋" w:cs="仿宋"/>
                      <w:color w:val="000000"/>
                      <w:sz w:val="22"/>
                      <w:szCs w:val="22"/>
                    </w:rPr>
                    <w:t>全自动树脂罐（软水器）</w:t>
                  </w:r>
                </w:p>
              </w:tc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22"/>
                      <w:szCs w:val="22"/>
                    </w:rPr>
                    <w:t xml:space="preserve">8000L/H        </w:t>
                  </w:r>
                </w:p>
              </w:tc>
              <w:tc>
                <w:tcPr>
                  <w:tcW w:w="1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Segoe UI" w:hAnsi="Segoe UI" w:eastAsia="仿宋"/>
                      <w:sz w:val="22"/>
                      <w:szCs w:val="22"/>
                    </w:rPr>
                  </w:pPr>
                  <w:r>
                    <w:rPr>
                      <w:rFonts w:ascii="Segoe UI" w:hAnsi="Segoe UI" w:eastAsia="仿宋" w:cs="Segoe UI"/>
                      <w:sz w:val="22"/>
                      <w:szCs w:val="22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12"/>
                    <w:spacing w:line="360" w:lineRule="exact"/>
                    <w:ind w:right="90"/>
                    <w:jc w:val="center"/>
                  </w:pPr>
                  <w:r>
                    <w:t>5</w:t>
                  </w:r>
                </w:p>
              </w:tc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Segoe UI" w:hAnsi="Segoe UI" w:eastAsia="仿宋"/>
                      <w:sz w:val="22"/>
                      <w:szCs w:val="22"/>
                    </w:rPr>
                  </w:pPr>
                  <w:r>
                    <w:rPr>
                      <w:rFonts w:hint="eastAsia" w:ascii="Segoe UI" w:hAnsi="仿宋" w:eastAsia="仿宋" w:cs="仿宋"/>
                      <w:color w:val="000000"/>
                      <w:sz w:val="22"/>
                      <w:szCs w:val="22"/>
                    </w:rPr>
                    <w:t>全自动活性炭罐</w:t>
                  </w:r>
                </w:p>
              </w:tc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22"/>
                      <w:szCs w:val="22"/>
                    </w:rPr>
                    <w:t xml:space="preserve">8000L/H        </w:t>
                  </w:r>
                </w:p>
              </w:tc>
              <w:tc>
                <w:tcPr>
                  <w:tcW w:w="1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Segoe UI" w:hAnsi="Segoe UI" w:eastAsia="仿宋"/>
                      <w:sz w:val="22"/>
                      <w:szCs w:val="22"/>
                    </w:rPr>
                  </w:pPr>
                  <w:r>
                    <w:rPr>
                      <w:rFonts w:ascii="Segoe UI" w:hAnsi="Segoe UI" w:eastAsia="仿宋" w:cs="Segoe UI"/>
                      <w:sz w:val="22"/>
                      <w:szCs w:val="22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12"/>
                    <w:spacing w:line="360" w:lineRule="exact"/>
                    <w:ind w:right="90"/>
                    <w:jc w:val="center"/>
                  </w:pPr>
                  <w:r>
                    <w:t>6</w:t>
                  </w:r>
                </w:p>
              </w:tc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Segoe UI" w:hAnsi="仿宋" w:eastAsia="仿宋" w:cs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Segoe UI" w:hAnsi="仿宋" w:eastAsia="仿宋" w:cs="仿宋"/>
                      <w:color w:val="000000"/>
                      <w:sz w:val="22"/>
                      <w:szCs w:val="22"/>
                    </w:rPr>
                    <w:t>全自动反渗主机，全无死腔结构双级反渗</w:t>
                  </w:r>
                </w:p>
              </w:tc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2"/>
                      <w:szCs w:val="22"/>
                    </w:rPr>
                    <w:t>6℃出水量3600L/H</w:t>
                  </w:r>
                </w:p>
              </w:tc>
              <w:tc>
                <w:tcPr>
                  <w:tcW w:w="1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Segoe UI" w:hAnsi="Segoe UI" w:eastAsia="仿宋"/>
                      <w:sz w:val="22"/>
                      <w:szCs w:val="22"/>
                    </w:rPr>
                  </w:pPr>
                  <w:r>
                    <w:rPr>
                      <w:rFonts w:ascii="Segoe UI" w:hAnsi="Segoe UI" w:eastAsia="仿宋" w:cs="Segoe UI"/>
                      <w:sz w:val="22"/>
                      <w:szCs w:val="22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9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12"/>
                    <w:spacing w:line="360" w:lineRule="exact"/>
                    <w:ind w:right="90"/>
                    <w:jc w:val="center"/>
                  </w:pPr>
                  <w:r>
                    <w:t>6-1</w:t>
                  </w:r>
                </w:p>
              </w:tc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Segoe UI" w:hAnsi="Segoe UI" w:eastAsia="仿宋"/>
                      <w:sz w:val="22"/>
                      <w:szCs w:val="22"/>
                    </w:rPr>
                  </w:pPr>
                  <w:r>
                    <w:rPr>
                      <w:rFonts w:hint="eastAsia" w:ascii="Segoe UI" w:hAnsi="仿宋" w:eastAsia="仿宋" w:cs="仿宋"/>
                      <w:sz w:val="22"/>
                      <w:szCs w:val="22"/>
                    </w:rPr>
                    <w:t>主机配件</w:t>
                  </w:r>
                </w:p>
              </w:tc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Segoe UI" w:hAnsi="仿宋" w:eastAsia="仿宋" w:cs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Segoe UI" w:hAnsi="仿宋" w:eastAsia="仿宋" w:cs="仿宋"/>
                      <w:color w:val="000000"/>
                      <w:sz w:val="22"/>
                      <w:szCs w:val="22"/>
                    </w:rPr>
                    <w:t>带液晶显示和操作界面的控</w:t>
                  </w:r>
                  <w:bookmarkStart w:id="0" w:name="_GoBack"/>
                  <w:bookmarkEnd w:id="0"/>
                  <w:r>
                    <w:rPr>
                      <w:rFonts w:hint="eastAsia" w:ascii="Segoe UI" w:hAnsi="仿宋" w:eastAsia="仿宋" w:cs="仿宋"/>
                      <w:color w:val="000000"/>
                      <w:sz w:val="22"/>
                      <w:szCs w:val="22"/>
                    </w:rPr>
                    <w:t>制箱</w:t>
                  </w:r>
                </w:p>
              </w:tc>
              <w:tc>
                <w:tcPr>
                  <w:tcW w:w="1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Segoe UI" w:hAnsi="Segoe UI" w:eastAsia="仿宋"/>
                      <w:sz w:val="22"/>
                      <w:szCs w:val="22"/>
                    </w:rPr>
                  </w:pPr>
                  <w:r>
                    <w:rPr>
                      <w:rFonts w:ascii="Segoe UI" w:hAnsi="Segoe UI" w:eastAsia="仿宋" w:cs="Segoe UI"/>
                      <w:sz w:val="22"/>
                      <w:szCs w:val="22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12"/>
                    <w:spacing w:line="360" w:lineRule="exact"/>
                    <w:ind w:right="9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Segoe UI" w:hAnsi="Segoe UI" w:eastAsia="仿宋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Segoe UI" w:hAnsi="仿宋" w:eastAsia="仿宋" w:cs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Segoe UI" w:hAnsi="仿宋" w:eastAsia="仿宋" w:cs="仿宋"/>
                      <w:color w:val="000000"/>
                      <w:sz w:val="22"/>
                      <w:szCs w:val="22"/>
                    </w:rPr>
                    <w:t>反渗膜及专利无死腔全不锈钢（316L）膜壳</w:t>
                  </w:r>
                </w:p>
              </w:tc>
              <w:tc>
                <w:tcPr>
                  <w:tcW w:w="1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Segoe UI" w:hAnsi="Segoe UI" w:eastAsia="仿宋"/>
                      <w:sz w:val="22"/>
                      <w:szCs w:val="22"/>
                    </w:rPr>
                  </w:pPr>
                  <w:r>
                    <w:rPr>
                      <w:rFonts w:ascii="Segoe UI" w:hAnsi="Segoe UI" w:eastAsia="仿宋" w:cs="Segoe UI"/>
                      <w:sz w:val="22"/>
                      <w:szCs w:val="22"/>
                    </w:rPr>
                    <w:t>4+4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9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12"/>
                    <w:spacing w:line="360" w:lineRule="exact"/>
                    <w:ind w:right="9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Segoe UI" w:hAnsi="Segoe UI" w:eastAsia="仿宋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Segoe UI" w:hAnsi="仿宋" w:eastAsia="仿宋" w:cs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Segoe UI" w:hAnsi="仿宋" w:eastAsia="仿宋" w:cs="仿宋"/>
                      <w:color w:val="000000"/>
                      <w:sz w:val="22"/>
                      <w:szCs w:val="22"/>
                    </w:rPr>
                    <w:t>高压离心泵</w:t>
                  </w:r>
                </w:p>
              </w:tc>
              <w:tc>
                <w:tcPr>
                  <w:tcW w:w="1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Segoe UI" w:hAnsi="Segoe UI" w:eastAsia="仿宋"/>
                      <w:sz w:val="22"/>
                      <w:szCs w:val="22"/>
                    </w:rPr>
                  </w:pPr>
                  <w:r>
                    <w:rPr>
                      <w:rFonts w:ascii="Segoe UI" w:hAnsi="Segoe UI" w:eastAsia="仿宋" w:cs="Segoe UI"/>
                      <w:sz w:val="22"/>
                      <w:szCs w:val="22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9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12"/>
                    <w:spacing w:line="360" w:lineRule="exact"/>
                    <w:ind w:right="9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Segoe UI" w:hAnsi="Segoe UI" w:eastAsia="仿宋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Segoe UI" w:hAnsi="仿宋" w:eastAsia="仿宋" w:cs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Segoe UI" w:hAnsi="仿宋" w:eastAsia="仿宋" w:cs="仿宋"/>
                      <w:color w:val="000000"/>
                      <w:sz w:val="22"/>
                      <w:szCs w:val="22"/>
                    </w:rPr>
                    <w:t>流量；压力；温度；电导度传感器</w:t>
                  </w:r>
                </w:p>
              </w:tc>
              <w:tc>
                <w:tcPr>
                  <w:tcW w:w="1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Segoe UI" w:hAnsi="Segoe UI" w:eastAsia="仿宋"/>
                      <w:sz w:val="22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9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12"/>
                    <w:spacing w:line="360" w:lineRule="exact"/>
                    <w:ind w:right="9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Segoe UI" w:hAnsi="Segoe UI" w:eastAsia="仿宋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Segoe UI" w:hAnsi="仿宋" w:eastAsia="仿宋" w:cs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Segoe UI" w:hAnsi="仿宋" w:eastAsia="仿宋" w:cs="仿宋"/>
                      <w:color w:val="000000"/>
                      <w:sz w:val="22"/>
                      <w:szCs w:val="22"/>
                    </w:rPr>
                    <w:t>控制电池阀总成</w:t>
                  </w:r>
                </w:p>
              </w:tc>
              <w:tc>
                <w:tcPr>
                  <w:tcW w:w="1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Segoe UI" w:hAnsi="Segoe UI" w:eastAsia="仿宋"/>
                      <w:sz w:val="22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9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12"/>
                    <w:spacing w:line="360" w:lineRule="exact"/>
                    <w:ind w:right="9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Segoe UI" w:hAnsi="Segoe UI" w:eastAsia="仿宋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Segoe UI" w:hAnsi="仿宋" w:eastAsia="仿宋" w:cs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Segoe UI" w:hAnsi="仿宋" w:eastAsia="仿宋" w:cs="仿宋"/>
                      <w:color w:val="000000"/>
                      <w:sz w:val="22"/>
                      <w:szCs w:val="22"/>
                    </w:rPr>
                    <w:t xml:space="preserve">全不锈钢316L无死腔结构连接 </w:t>
                  </w:r>
                </w:p>
              </w:tc>
              <w:tc>
                <w:tcPr>
                  <w:tcW w:w="1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Segoe UI" w:hAnsi="Segoe UI" w:eastAsia="仿宋"/>
                      <w:sz w:val="22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9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12"/>
                    <w:spacing w:line="360" w:lineRule="exact"/>
                    <w:ind w:right="90"/>
                    <w:jc w:val="center"/>
                  </w:pPr>
                  <w:r>
                    <w:t>7</w:t>
                  </w:r>
                </w:p>
              </w:tc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Segoe UI" w:hAnsi="Segoe UI" w:eastAsia="仿宋"/>
                      <w:sz w:val="24"/>
                      <w:szCs w:val="24"/>
                    </w:rPr>
                  </w:pPr>
                  <w:r>
                    <w:rPr>
                      <w:rFonts w:hint="eastAsia" w:ascii="Segoe UI" w:hAnsi="仿宋" w:eastAsia="仿宋" w:cs="仿宋"/>
                      <w:sz w:val="24"/>
                      <w:szCs w:val="24"/>
                    </w:rPr>
                    <w:t>主循环管路</w:t>
                  </w:r>
                </w:p>
              </w:tc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Segoe UI" w:hAnsi="Segoe UI" w:eastAsia="仿宋" w:cs="Segoe UI"/>
                      <w:lang w:eastAsia="zh-CN"/>
                    </w:rPr>
                  </w:pPr>
                  <w:r>
                    <w:rPr>
                      <w:rFonts w:ascii="Segoe UI" w:hAnsi="Segoe UI" w:eastAsia="仿宋" w:cs="Segoe UI"/>
                    </w:rPr>
                    <w:t>HP-UPVC</w:t>
                  </w:r>
                </w:p>
              </w:tc>
              <w:tc>
                <w:tcPr>
                  <w:tcW w:w="1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Segoe UI" w:hAnsi="Segoe UI" w:eastAsia="仿宋" w:cs="Segoe UI"/>
                    </w:rPr>
                  </w:pPr>
                  <w:r>
                    <w:rPr>
                      <w:rFonts w:ascii="Segoe UI" w:hAnsi="Segoe UI" w:eastAsia="仿宋" w:cs="Segoe UI"/>
                    </w:rPr>
                    <w:t>500m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9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12"/>
                    <w:spacing w:line="360" w:lineRule="exact"/>
                    <w:ind w:right="90"/>
                    <w:jc w:val="center"/>
                  </w:pPr>
                  <w:r>
                    <w:t>8</w:t>
                  </w:r>
                </w:p>
              </w:tc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Segoe UI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lang w:val="de-DE"/>
                    </w:rPr>
                    <w:t>反渗水出水端接头</w:t>
                  </w:r>
                </w:p>
              </w:tc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Segoe UI" w:hAnsi="Segoe UI" w:eastAsia="仿宋"/>
                    </w:rPr>
                  </w:pPr>
                  <w:r>
                    <w:rPr>
                      <w:rFonts w:ascii="Segoe UI" w:hAnsi="Segoe UI" w:eastAsia="仿宋" w:cs="Segoe UI"/>
                    </w:rPr>
                    <w:t>U</w:t>
                  </w:r>
                  <w:r>
                    <w:rPr>
                      <w:rFonts w:hint="eastAsia" w:ascii="Segoe UI" w:hAnsi="Segoe UI" w:eastAsia="仿宋" w:cs="仿宋"/>
                    </w:rPr>
                    <w:t>型无死腔出水口</w:t>
                  </w:r>
                </w:p>
              </w:tc>
              <w:tc>
                <w:tcPr>
                  <w:tcW w:w="1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Segoe UI" w:hAnsi="Segoe UI" w:eastAsia="仿宋"/>
                    </w:rPr>
                  </w:pPr>
                  <w:r>
                    <w:rPr>
                      <w:rFonts w:ascii="Segoe UI" w:hAnsi="Segoe UI" w:eastAsia="仿宋" w:cs="Segoe UI"/>
                    </w:rPr>
                    <w:t>80</w:t>
                  </w:r>
                  <w:r>
                    <w:rPr>
                      <w:rFonts w:hint="eastAsia" w:ascii="Segoe UI" w:hAnsi="Segoe UI" w:eastAsia="仿宋" w:cs="仿宋"/>
                    </w:rPr>
                    <w:t>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9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12"/>
                    <w:spacing w:line="360" w:lineRule="exact"/>
                    <w:ind w:right="90"/>
                    <w:jc w:val="center"/>
                  </w:pPr>
                  <w:r>
                    <w:t>9</w:t>
                  </w:r>
                </w:p>
              </w:tc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仿宋" w:hAnsi="仿宋" w:eastAsia="仿宋"/>
                      <w:sz w:val="22"/>
                      <w:szCs w:val="22"/>
                      <w:lang w:val="de-D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lang w:val="de-DE"/>
                    </w:rPr>
                    <w:t>双回水组件</w:t>
                  </w:r>
                </w:p>
              </w:tc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Segoe UI" w:hAnsi="Segoe UI" w:eastAsia="仿宋"/>
                    </w:rPr>
                  </w:pPr>
                  <w:r>
                    <w:rPr>
                      <w:rFonts w:ascii="Segoe UI" w:hAnsi="Segoe UI" w:eastAsia="仿宋" w:cs="Segoe UI"/>
                    </w:rPr>
                    <w:t>HP-UPVC</w:t>
                  </w:r>
                </w:p>
              </w:tc>
              <w:tc>
                <w:tcPr>
                  <w:tcW w:w="1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Segoe UI" w:hAnsi="Segoe UI" w:eastAsia="仿宋"/>
                    </w:rPr>
                  </w:pPr>
                  <w:r>
                    <w:rPr>
                      <w:rFonts w:ascii="Segoe UI" w:hAnsi="Segoe UI" w:eastAsia="仿宋" w:cs="Segoe UI"/>
                    </w:rPr>
                    <w:t>1</w:t>
                  </w:r>
                  <w:r>
                    <w:rPr>
                      <w:rFonts w:hint="eastAsia" w:ascii="Segoe UI" w:hAnsi="Segoe UI" w:eastAsia="仿宋" w:cs="仿宋"/>
                    </w:rPr>
                    <w:t>套</w:t>
                  </w:r>
                </w:p>
              </w:tc>
            </w:tr>
          </w:tbl>
          <w:p>
            <w:pPr>
              <w:pStyle w:val="5"/>
              <w:numPr>
                <w:ilvl w:val="0"/>
                <w:numId w:val="0"/>
              </w:numPr>
              <w:spacing w:beforeAutospacing="0"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商务要求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总价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总价包括全部产品价格【含与本院相关信息系统（pacs，lis等）对接费用，及设备软件调试、升级、改造、运维、计量检测等费用】、无缝结合、备品备件、专用工具、包装、运输、装卸、保险、税金、货到位以及原有旧设备的拆除、安装、安装所需辅材、调试、检验、售后服务、培训、保修等，直至验收合格交付及质保期间所发生的所有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售后服务要求及保修期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1、按国家有关产品三包规定执行“三包”，质保期：整机（含配件）质保期不少于2年，质保期内故障时间顺延质保期。</w:t>
            </w:r>
          </w:p>
          <w:p>
            <w:pPr>
              <w:pStyle w:val="5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、在使用过程中若产品发生质量问题或故障，在接到采购人通知后1个小时内响应，6小时内到达故障现场处理，一般故障处理时限不超过24小时修复；重大故障处理时限不超过48小时修复，若72小时内不能修复，必须提供同档次的设备给采购人使用。 </w:t>
            </w:r>
          </w:p>
          <w:p>
            <w:pPr>
              <w:pStyle w:val="5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3、定期免费上门维护检查设备运行情况，每年至少1次。</w:t>
            </w:r>
          </w:p>
          <w:p>
            <w:pPr>
              <w:pStyle w:val="5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4、按照医院要求提供相关培训。。</w:t>
            </w:r>
          </w:p>
        </w:tc>
      </w:tr>
    </w:tbl>
    <w:p>
      <w:pPr>
        <w:pStyle w:val="5"/>
        <w:ind w:firstLine="0"/>
      </w:pPr>
    </w:p>
    <w:sectPr>
      <w:pgSz w:w="11906" w:h="16838"/>
      <w:pgMar w:top="1213" w:right="1519" w:bottom="121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188E7"/>
    <w:multiLevelType w:val="singleLevel"/>
    <w:tmpl w:val="336188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M2JhMzRjM2RhMWVkMjg3ZTA5NjM1YmI2MDIxYzUifQ=="/>
  </w:docVars>
  <w:rsids>
    <w:rsidRoot w:val="4CD64AA3"/>
    <w:rsid w:val="00094E3D"/>
    <w:rsid w:val="000A41C9"/>
    <w:rsid w:val="000D67FB"/>
    <w:rsid w:val="00150EAD"/>
    <w:rsid w:val="00166C6A"/>
    <w:rsid w:val="00225AB2"/>
    <w:rsid w:val="00295E17"/>
    <w:rsid w:val="002B3FD0"/>
    <w:rsid w:val="002C4083"/>
    <w:rsid w:val="002C752C"/>
    <w:rsid w:val="003024B4"/>
    <w:rsid w:val="0030259F"/>
    <w:rsid w:val="003168C0"/>
    <w:rsid w:val="00330BFA"/>
    <w:rsid w:val="00335474"/>
    <w:rsid w:val="0039222C"/>
    <w:rsid w:val="003E251D"/>
    <w:rsid w:val="003E75B0"/>
    <w:rsid w:val="00411285"/>
    <w:rsid w:val="004A3368"/>
    <w:rsid w:val="004D3905"/>
    <w:rsid w:val="00512A6F"/>
    <w:rsid w:val="005539A0"/>
    <w:rsid w:val="00554129"/>
    <w:rsid w:val="00556F4B"/>
    <w:rsid w:val="005968E4"/>
    <w:rsid w:val="005C0BBE"/>
    <w:rsid w:val="005C22C5"/>
    <w:rsid w:val="00602F55"/>
    <w:rsid w:val="00604D6E"/>
    <w:rsid w:val="006151F9"/>
    <w:rsid w:val="00646985"/>
    <w:rsid w:val="006754E0"/>
    <w:rsid w:val="00684389"/>
    <w:rsid w:val="00684819"/>
    <w:rsid w:val="006E004F"/>
    <w:rsid w:val="00721C62"/>
    <w:rsid w:val="00790BFB"/>
    <w:rsid w:val="007A7AA2"/>
    <w:rsid w:val="0081416C"/>
    <w:rsid w:val="00863AE3"/>
    <w:rsid w:val="008B146B"/>
    <w:rsid w:val="008C2B6A"/>
    <w:rsid w:val="00954519"/>
    <w:rsid w:val="00976198"/>
    <w:rsid w:val="009A0CEC"/>
    <w:rsid w:val="009B32AB"/>
    <w:rsid w:val="00C43228"/>
    <w:rsid w:val="00C61033"/>
    <w:rsid w:val="00C67A93"/>
    <w:rsid w:val="00C83BC7"/>
    <w:rsid w:val="00C951DB"/>
    <w:rsid w:val="00CD3536"/>
    <w:rsid w:val="00D510CB"/>
    <w:rsid w:val="00D65F2D"/>
    <w:rsid w:val="00E24D04"/>
    <w:rsid w:val="00E80810"/>
    <w:rsid w:val="00EE03C1"/>
    <w:rsid w:val="00F27441"/>
    <w:rsid w:val="00F724AD"/>
    <w:rsid w:val="00F81F13"/>
    <w:rsid w:val="00FA076C"/>
    <w:rsid w:val="00FA2C23"/>
    <w:rsid w:val="00FA632B"/>
    <w:rsid w:val="00FC1278"/>
    <w:rsid w:val="00FC206D"/>
    <w:rsid w:val="012D66CB"/>
    <w:rsid w:val="012F3749"/>
    <w:rsid w:val="01415CD2"/>
    <w:rsid w:val="015C2B0C"/>
    <w:rsid w:val="019C2A3A"/>
    <w:rsid w:val="01BF44E5"/>
    <w:rsid w:val="01C7267B"/>
    <w:rsid w:val="01C963F3"/>
    <w:rsid w:val="01F66ABD"/>
    <w:rsid w:val="021533E7"/>
    <w:rsid w:val="023B4A81"/>
    <w:rsid w:val="02551A35"/>
    <w:rsid w:val="028F7400"/>
    <w:rsid w:val="03084CFA"/>
    <w:rsid w:val="034877EC"/>
    <w:rsid w:val="03675EC4"/>
    <w:rsid w:val="03840EF9"/>
    <w:rsid w:val="0394658D"/>
    <w:rsid w:val="03CF5817"/>
    <w:rsid w:val="03FB485E"/>
    <w:rsid w:val="0442537B"/>
    <w:rsid w:val="04642403"/>
    <w:rsid w:val="0466617C"/>
    <w:rsid w:val="048605CC"/>
    <w:rsid w:val="04B82404"/>
    <w:rsid w:val="04CB4231"/>
    <w:rsid w:val="04EB21F1"/>
    <w:rsid w:val="051B33E9"/>
    <w:rsid w:val="05340028"/>
    <w:rsid w:val="0580326D"/>
    <w:rsid w:val="05A50F26"/>
    <w:rsid w:val="0651633B"/>
    <w:rsid w:val="06B01C77"/>
    <w:rsid w:val="06B62CBE"/>
    <w:rsid w:val="06F2019A"/>
    <w:rsid w:val="073005F6"/>
    <w:rsid w:val="074D53D1"/>
    <w:rsid w:val="07AD40CD"/>
    <w:rsid w:val="07B436A2"/>
    <w:rsid w:val="07CC279A"/>
    <w:rsid w:val="07D57174"/>
    <w:rsid w:val="081511F6"/>
    <w:rsid w:val="085D1C74"/>
    <w:rsid w:val="0870264D"/>
    <w:rsid w:val="0878022B"/>
    <w:rsid w:val="087E2ED0"/>
    <w:rsid w:val="088766C0"/>
    <w:rsid w:val="088E3EF3"/>
    <w:rsid w:val="08B73FD5"/>
    <w:rsid w:val="09264A12"/>
    <w:rsid w:val="09294C21"/>
    <w:rsid w:val="09300B06"/>
    <w:rsid w:val="09383E5F"/>
    <w:rsid w:val="09554CD5"/>
    <w:rsid w:val="095E1B17"/>
    <w:rsid w:val="095E38C5"/>
    <w:rsid w:val="0966277A"/>
    <w:rsid w:val="09B41187"/>
    <w:rsid w:val="09B5199D"/>
    <w:rsid w:val="0A075D0B"/>
    <w:rsid w:val="0A7B2255"/>
    <w:rsid w:val="0AAE262A"/>
    <w:rsid w:val="0ABD0ABF"/>
    <w:rsid w:val="0B2B5A29"/>
    <w:rsid w:val="0B512FB6"/>
    <w:rsid w:val="0B534F80"/>
    <w:rsid w:val="0B9C6927"/>
    <w:rsid w:val="0BB579E9"/>
    <w:rsid w:val="0BD51E39"/>
    <w:rsid w:val="0C0A3890"/>
    <w:rsid w:val="0C801DA5"/>
    <w:rsid w:val="0C913FB2"/>
    <w:rsid w:val="0CF26921"/>
    <w:rsid w:val="0D8D4779"/>
    <w:rsid w:val="0DA73361"/>
    <w:rsid w:val="0DC857B1"/>
    <w:rsid w:val="0DF15634"/>
    <w:rsid w:val="0E2F4C4F"/>
    <w:rsid w:val="0E4A266A"/>
    <w:rsid w:val="0E7874BC"/>
    <w:rsid w:val="0F0A7A22"/>
    <w:rsid w:val="0F20786F"/>
    <w:rsid w:val="0F2F1860"/>
    <w:rsid w:val="0F3B0205"/>
    <w:rsid w:val="0F7A2834"/>
    <w:rsid w:val="0F895414"/>
    <w:rsid w:val="1017657C"/>
    <w:rsid w:val="101C1757"/>
    <w:rsid w:val="102376E3"/>
    <w:rsid w:val="10523A58"/>
    <w:rsid w:val="10554120"/>
    <w:rsid w:val="107E2A9F"/>
    <w:rsid w:val="108654B0"/>
    <w:rsid w:val="11082369"/>
    <w:rsid w:val="11205904"/>
    <w:rsid w:val="11863DE0"/>
    <w:rsid w:val="11907CEC"/>
    <w:rsid w:val="11AF4817"/>
    <w:rsid w:val="11BF336F"/>
    <w:rsid w:val="11C96820"/>
    <w:rsid w:val="120E372E"/>
    <w:rsid w:val="123478B9"/>
    <w:rsid w:val="124949E7"/>
    <w:rsid w:val="12883761"/>
    <w:rsid w:val="12922832"/>
    <w:rsid w:val="12BF4D14"/>
    <w:rsid w:val="12ED1816"/>
    <w:rsid w:val="1313598F"/>
    <w:rsid w:val="13370C17"/>
    <w:rsid w:val="1339201A"/>
    <w:rsid w:val="13833F28"/>
    <w:rsid w:val="13961EAE"/>
    <w:rsid w:val="13B26BCE"/>
    <w:rsid w:val="13D34EB0"/>
    <w:rsid w:val="13DB5B12"/>
    <w:rsid w:val="13DC1FB6"/>
    <w:rsid w:val="13F54E26"/>
    <w:rsid w:val="141B047A"/>
    <w:rsid w:val="141D4A3D"/>
    <w:rsid w:val="14243946"/>
    <w:rsid w:val="14991C55"/>
    <w:rsid w:val="14D62EA9"/>
    <w:rsid w:val="14FB2910"/>
    <w:rsid w:val="15121A08"/>
    <w:rsid w:val="152708B1"/>
    <w:rsid w:val="15AE1730"/>
    <w:rsid w:val="15B34F99"/>
    <w:rsid w:val="15B879AC"/>
    <w:rsid w:val="16161084"/>
    <w:rsid w:val="16227A29"/>
    <w:rsid w:val="162639BD"/>
    <w:rsid w:val="164D719B"/>
    <w:rsid w:val="16552C21"/>
    <w:rsid w:val="16694B15"/>
    <w:rsid w:val="16DF591A"/>
    <w:rsid w:val="16E15B36"/>
    <w:rsid w:val="16F50E14"/>
    <w:rsid w:val="173E758D"/>
    <w:rsid w:val="17BE7C25"/>
    <w:rsid w:val="17CE7E68"/>
    <w:rsid w:val="17D37A26"/>
    <w:rsid w:val="17D82A95"/>
    <w:rsid w:val="180B10BC"/>
    <w:rsid w:val="183103F7"/>
    <w:rsid w:val="186B56B7"/>
    <w:rsid w:val="18890233"/>
    <w:rsid w:val="18B35169"/>
    <w:rsid w:val="18B84674"/>
    <w:rsid w:val="1989671E"/>
    <w:rsid w:val="19E27BFB"/>
    <w:rsid w:val="19E7325B"/>
    <w:rsid w:val="1A8E1B30"/>
    <w:rsid w:val="1AD57583"/>
    <w:rsid w:val="1AEA1DAD"/>
    <w:rsid w:val="1AF851FC"/>
    <w:rsid w:val="1B072A87"/>
    <w:rsid w:val="1B0C6C17"/>
    <w:rsid w:val="1B8225EA"/>
    <w:rsid w:val="1B8F3DB2"/>
    <w:rsid w:val="1B925650"/>
    <w:rsid w:val="1BB13D28"/>
    <w:rsid w:val="1BBD091F"/>
    <w:rsid w:val="1C44694B"/>
    <w:rsid w:val="1C900BC1"/>
    <w:rsid w:val="1C9A5519"/>
    <w:rsid w:val="1CBA6C0D"/>
    <w:rsid w:val="1CC7757C"/>
    <w:rsid w:val="1CE3087B"/>
    <w:rsid w:val="1CE95744"/>
    <w:rsid w:val="1D1C3424"/>
    <w:rsid w:val="1D5E1C8E"/>
    <w:rsid w:val="1D6A0633"/>
    <w:rsid w:val="1D8B157D"/>
    <w:rsid w:val="1D9303D6"/>
    <w:rsid w:val="1E390005"/>
    <w:rsid w:val="1ECC0E79"/>
    <w:rsid w:val="1ED551F2"/>
    <w:rsid w:val="1EFC175F"/>
    <w:rsid w:val="1F1A1BE5"/>
    <w:rsid w:val="1F2C24DC"/>
    <w:rsid w:val="1F2C41C5"/>
    <w:rsid w:val="1F3360E0"/>
    <w:rsid w:val="1F3C5FFF"/>
    <w:rsid w:val="1F6B68E4"/>
    <w:rsid w:val="1F9A3315"/>
    <w:rsid w:val="1FC85AE5"/>
    <w:rsid w:val="1FD224BF"/>
    <w:rsid w:val="1FEF4E1F"/>
    <w:rsid w:val="20336198"/>
    <w:rsid w:val="20823EE5"/>
    <w:rsid w:val="20825C93"/>
    <w:rsid w:val="208905F9"/>
    <w:rsid w:val="20A53F59"/>
    <w:rsid w:val="20A83220"/>
    <w:rsid w:val="20E92D0F"/>
    <w:rsid w:val="2118056E"/>
    <w:rsid w:val="213845A4"/>
    <w:rsid w:val="21425423"/>
    <w:rsid w:val="21690C01"/>
    <w:rsid w:val="216B47B8"/>
    <w:rsid w:val="21734654"/>
    <w:rsid w:val="219D6832"/>
    <w:rsid w:val="21B87493"/>
    <w:rsid w:val="22031056"/>
    <w:rsid w:val="22205764"/>
    <w:rsid w:val="224F1BA5"/>
    <w:rsid w:val="22A7378F"/>
    <w:rsid w:val="22D90340"/>
    <w:rsid w:val="23307C29"/>
    <w:rsid w:val="233F60BE"/>
    <w:rsid w:val="23713D9D"/>
    <w:rsid w:val="2378337E"/>
    <w:rsid w:val="23871813"/>
    <w:rsid w:val="23DF33FD"/>
    <w:rsid w:val="23E8071D"/>
    <w:rsid w:val="23F55899"/>
    <w:rsid w:val="2404388E"/>
    <w:rsid w:val="246A37E2"/>
    <w:rsid w:val="24B30B11"/>
    <w:rsid w:val="24E707BB"/>
    <w:rsid w:val="25201F1F"/>
    <w:rsid w:val="254D1D5E"/>
    <w:rsid w:val="25513E86"/>
    <w:rsid w:val="25703B26"/>
    <w:rsid w:val="25B97501"/>
    <w:rsid w:val="25C90036"/>
    <w:rsid w:val="25CA054A"/>
    <w:rsid w:val="25E60A73"/>
    <w:rsid w:val="26345C82"/>
    <w:rsid w:val="263B17EF"/>
    <w:rsid w:val="26812549"/>
    <w:rsid w:val="26B20955"/>
    <w:rsid w:val="26B80661"/>
    <w:rsid w:val="26CA2142"/>
    <w:rsid w:val="275406D8"/>
    <w:rsid w:val="27A15DF5"/>
    <w:rsid w:val="27C6290A"/>
    <w:rsid w:val="27EB6814"/>
    <w:rsid w:val="280F1D15"/>
    <w:rsid w:val="28B455BA"/>
    <w:rsid w:val="28C050DA"/>
    <w:rsid w:val="28E60D8A"/>
    <w:rsid w:val="290F2EB0"/>
    <w:rsid w:val="29115E06"/>
    <w:rsid w:val="293224AE"/>
    <w:rsid w:val="296D074E"/>
    <w:rsid w:val="297E2968"/>
    <w:rsid w:val="29930F11"/>
    <w:rsid w:val="29A90F14"/>
    <w:rsid w:val="29BE3843"/>
    <w:rsid w:val="29C015DB"/>
    <w:rsid w:val="2A2614BF"/>
    <w:rsid w:val="2AA36F32"/>
    <w:rsid w:val="2AE80A48"/>
    <w:rsid w:val="2B231E21"/>
    <w:rsid w:val="2B255B99"/>
    <w:rsid w:val="2B2636BF"/>
    <w:rsid w:val="2B4D6CA7"/>
    <w:rsid w:val="2B5027DF"/>
    <w:rsid w:val="2B5D5CD9"/>
    <w:rsid w:val="2B8C3E6A"/>
    <w:rsid w:val="2BB60EE7"/>
    <w:rsid w:val="2BBC4ED5"/>
    <w:rsid w:val="2BC01D66"/>
    <w:rsid w:val="2BC74EA2"/>
    <w:rsid w:val="2C041C52"/>
    <w:rsid w:val="2C2F2F56"/>
    <w:rsid w:val="2C3B319A"/>
    <w:rsid w:val="2C5524AE"/>
    <w:rsid w:val="2C932A99"/>
    <w:rsid w:val="2CBE62A5"/>
    <w:rsid w:val="2D113E1B"/>
    <w:rsid w:val="2D1C7118"/>
    <w:rsid w:val="2D3E73E6"/>
    <w:rsid w:val="2D426ED6"/>
    <w:rsid w:val="2D742E08"/>
    <w:rsid w:val="2D850E14"/>
    <w:rsid w:val="2D940B3D"/>
    <w:rsid w:val="2DDC2157"/>
    <w:rsid w:val="2DFB0E33"/>
    <w:rsid w:val="2E3E188E"/>
    <w:rsid w:val="2E622742"/>
    <w:rsid w:val="2E693FEF"/>
    <w:rsid w:val="2EDF0755"/>
    <w:rsid w:val="2F9257C7"/>
    <w:rsid w:val="2FCB57D5"/>
    <w:rsid w:val="305202FD"/>
    <w:rsid w:val="306929CC"/>
    <w:rsid w:val="306C7DC6"/>
    <w:rsid w:val="30901D07"/>
    <w:rsid w:val="312B6B98"/>
    <w:rsid w:val="31350B00"/>
    <w:rsid w:val="313C1E8F"/>
    <w:rsid w:val="31490108"/>
    <w:rsid w:val="31662A68"/>
    <w:rsid w:val="3186310A"/>
    <w:rsid w:val="318F1FBE"/>
    <w:rsid w:val="31C0279C"/>
    <w:rsid w:val="31DD71CE"/>
    <w:rsid w:val="31E71DFA"/>
    <w:rsid w:val="31F57502"/>
    <w:rsid w:val="321902D9"/>
    <w:rsid w:val="32472899"/>
    <w:rsid w:val="32FD5AA5"/>
    <w:rsid w:val="3304078A"/>
    <w:rsid w:val="330D3E65"/>
    <w:rsid w:val="3317670F"/>
    <w:rsid w:val="33364265"/>
    <w:rsid w:val="336B25B7"/>
    <w:rsid w:val="33727DEA"/>
    <w:rsid w:val="33753436"/>
    <w:rsid w:val="33BA709B"/>
    <w:rsid w:val="33DE547F"/>
    <w:rsid w:val="33F16F60"/>
    <w:rsid w:val="340F089F"/>
    <w:rsid w:val="3449098A"/>
    <w:rsid w:val="346239BA"/>
    <w:rsid w:val="34675474"/>
    <w:rsid w:val="34C91C8B"/>
    <w:rsid w:val="34ED6A76"/>
    <w:rsid w:val="3502519D"/>
    <w:rsid w:val="351B1DBB"/>
    <w:rsid w:val="354E03E2"/>
    <w:rsid w:val="35831E3A"/>
    <w:rsid w:val="3589141A"/>
    <w:rsid w:val="35DC154A"/>
    <w:rsid w:val="35F42D38"/>
    <w:rsid w:val="36483084"/>
    <w:rsid w:val="36527A5E"/>
    <w:rsid w:val="36700E75"/>
    <w:rsid w:val="369B6176"/>
    <w:rsid w:val="369C2236"/>
    <w:rsid w:val="36D62BD4"/>
    <w:rsid w:val="36FF3742"/>
    <w:rsid w:val="371134BE"/>
    <w:rsid w:val="372633C5"/>
    <w:rsid w:val="37295180"/>
    <w:rsid w:val="372E4027"/>
    <w:rsid w:val="373A0C1E"/>
    <w:rsid w:val="374C2700"/>
    <w:rsid w:val="37751C56"/>
    <w:rsid w:val="377A101B"/>
    <w:rsid w:val="377F7ADE"/>
    <w:rsid w:val="37A442EA"/>
    <w:rsid w:val="37A60062"/>
    <w:rsid w:val="37B87D95"/>
    <w:rsid w:val="381947FC"/>
    <w:rsid w:val="383433C4"/>
    <w:rsid w:val="38507FCD"/>
    <w:rsid w:val="386C12AB"/>
    <w:rsid w:val="38797524"/>
    <w:rsid w:val="38801494"/>
    <w:rsid w:val="388F6D48"/>
    <w:rsid w:val="391D6A8B"/>
    <w:rsid w:val="391E0AC3"/>
    <w:rsid w:val="39226EF2"/>
    <w:rsid w:val="39382F3B"/>
    <w:rsid w:val="39750F78"/>
    <w:rsid w:val="39AB7BB1"/>
    <w:rsid w:val="39B954AD"/>
    <w:rsid w:val="39BA7DF4"/>
    <w:rsid w:val="39E9692C"/>
    <w:rsid w:val="3A2B2649"/>
    <w:rsid w:val="3A2F74C4"/>
    <w:rsid w:val="3AE91E71"/>
    <w:rsid w:val="3B4E4C98"/>
    <w:rsid w:val="3B602C1D"/>
    <w:rsid w:val="3B914B85"/>
    <w:rsid w:val="3BDC6748"/>
    <w:rsid w:val="3BE70C49"/>
    <w:rsid w:val="3C406CD7"/>
    <w:rsid w:val="3C9C7C85"/>
    <w:rsid w:val="3CCA67D1"/>
    <w:rsid w:val="3CEA2F8E"/>
    <w:rsid w:val="3D075D34"/>
    <w:rsid w:val="3D344362"/>
    <w:rsid w:val="3D5440BC"/>
    <w:rsid w:val="3DA2751D"/>
    <w:rsid w:val="3DBA6615"/>
    <w:rsid w:val="3DDD0555"/>
    <w:rsid w:val="3E1A7695"/>
    <w:rsid w:val="3EC3774B"/>
    <w:rsid w:val="3F0A7128"/>
    <w:rsid w:val="3F454604"/>
    <w:rsid w:val="3F762A0F"/>
    <w:rsid w:val="3FBC3738"/>
    <w:rsid w:val="3FE31F43"/>
    <w:rsid w:val="400973E0"/>
    <w:rsid w:val="400E2C48"/>
    <w:rsid w:val="402F0394"/>
    <w:rsid w:val="402F2635"/>
    <w:rsid w:val="40526FD9"/>
    <w:rsid w:val="40956EC5"/>
    <w:rsid w:val="40970E8F"/>
    <w:rsid w:val="40A30D27"/>
    <w:rsid w:val="40C94DC1"/>
    <w:rsid w:val="40FF07E3"/>
    <w:rsid w:val="410C362B"/>
    <w:rsid w:val="41173D7E"/>
    <w:rsid w:val="411A73CB"/>
    <w:rsid w:val="412D5350"/>
    <w:rsid w:val="41A456D0"/>
    <w:rsid w:val="41BD4926"/>
    <w:rsid w:val="41FF6CEC"/>
    <w:rsid w:val="42051BC8"/>
    <w:rsid w:val="42A81083"/>
    <w:rsid w:val="42B51AA1"/>
    <w:rsid w:val="42DC702D"/>
    <w:rsid w:val="42E61C5A"/>
    <w:rsid w:val="430640AA"/>
    <w:rsid w:val="43192030"/>
    <w:rsid w:val="43324E9F"/>
    <w:rsid w:val="43FD177C"/>
    <w:rsid w:val="445D5F4C"/>
    <w:rsid w:val="44B37B57"/>
    <w:rsid w:val="44C2534E"/>
    <w:rsid w:val="44E40DD4"/>
    <w:rsid w:val="44FC39B7"/>
    <w:rsid w:val="451505D5"/>
    <w:rsid w:val="45687D30"/>
    <w:rsid w:val="45863281"/>
    <w:rsid w:val="45A55DFD"/>
    <w:rsid w:val="45E701C3"/>
    <w:rsid w:val="45FE08E0"/>
    <w:rsid w:val="460D74FE"/>
    <w:rsid w:val="462C207A"/>
    <w:rsid w:val="4663213A"/>
    <w:rsid w:val="467001B9"/>
    <w:rsid w:val="46750B97"/>
    <w:rsid w:val="467B1E3B"/>
    <w:rsid w:val="46B53E1D"/>
    <w:rsid w:val="4712301E"/>
    <w:rsid w:val="47157A2C"/>
    <w:rsid w:val="472450A7"/>
    <w:rsid w:val="474D4375"/>
    <w:rsid w:val="474E558F"/>
    <w:rsid w:val="47602F61"/>
    <w:rsid w:val="478E13A6"/>
    <w:rsid w:val="479834B0"/>
    <w:rsid w:val="480908C5"/>
    <w:rsid w:val="481B05F8"/>
    <w:rsid w:val="48316C19"/>
    <w:rsid w:val="48384D06"/>
    <w:rsid w:val="488661B3"/>
    <w:rsid w:val="48AE6D76"/>
    <w:rsid w:val="48DA7B6B"/>
    <w:rsid w:val="48DC54E0"/>
    <w:rsid w:val="48F112B0"/>
    <w:rsid w:val="49085FCE"/>
    <w:rsid w:val="491750B6"/>
    <w:rsid w:val="497F0713"/>
    <w:rsid w:val="49A174CD"/>
    <w:rsid w:val="49DD4852"/>
    <w:rsid w:val="4A233794"/>
    <w:rsid w:val="4A4200BE"/>
    <w:rsid w:val="4A6E0EB3"/>
    <w:rsid w:val="4A8F2BD7"/>
    <w:rsid w:val="4A9F106C"/>
    <w:rsid w:val="4B0C5FD6"/>
    <w:rsid w:val="4B376394"/>
    <w:rsid w:val="4B5C5957"/>
    <w:rsid w:val="4B8B7843"/>
    <w:rsid w:val="4B9B709A"/>
    <w:rsid w:val="4BA831C0"/>
    <w:rsid w:val="4BB456DC"/>
    <w:rsid w:val="4C101AF6"/>
    <w:rsid w:val="4C3C28EB"/>
    <w:rsid w:val="4C577725"/>
    <w:rsid w:val="4CD64AA3"/>
    <w:rsid w:val="4D113D78"/>
    <w:rsid w:val="4D3857A8"/>
    <w:rsid w:val="4D7211FA"/>
    <w:rsid w:val="4D866514"/>
    <w:rsid w:val="4DA8648A"/>
    <w:rsid w:val="4DDB0899"/>
    <w:rsid w:val="4E035DB6"/>
    <w:rsid w:val="4E086F29"/>
    <w:rsid w:val="4E103CF5"/>
    <w:rsid w:val="4E24010C"/>
    <w:rsid w:val="4E2B70BB"/>
    <w:rsid w:val="4E3470F7"/>
    <w:rsid w:val="4E490811"/>
    <w:rsid w:val="4E792217"/>
    <w:rsid w:val="4E864351"/>
    <w:rsid w:val="4EDD03B5"/>
    <w:rsid w:val="4F1C2E7C"/>
    <w:rsid w:val="4F3A4EEF"/>
    <w:rsid w:val="4FA2515B"/>
    <w:rsid w:val="4FE37C4D"/>
    <w:rsid w:val="500D0826"/>
    <w:rsid w:val="5032028D"/>
    <w:rsid w:val="504D156B"/>
    <w:rsid w:val="50574197"/>
    <w:rsid w:val="507419CE"/>
    <w:rsid w:val="507B7E86"/>
    <w:rsid w:val="507C775A"/>
    <w:rsid w:val="50AD6ABA"/>
    <w:rsid w:val="50DC591D"/>
    <w:rsid w:val="50E379FE"/>
    <w:rsid w:val="510219B8"/>
    <w:rsid w:val="5115563D"/>
    <w:rsid w:val="511F1E3A"/>
    <w:rsid w:val="51744980"/>
    <w:rsid w:val="5180327A"/>
    <w:rsid w:val="518C60C3"/>
    <w:rsid w:val="51954F77"/>
    <w:rsid w:val="51A46F68"/>
    <w:rsid w:val="51CD67EE"/>
    <w:rsid w:val="525E180D"/>
    <w:rsid w:val="52A0429A"/>
    <w:rsid w:val="52A116FA"/>
    <w:rsid w:val="52A31FA0"/>
    <w:rsid w:val="52A46F33"/>
    <w:rsid w:val="52B96A43"/>
    <w:rsid w:val="52E1709D"/>
    <w:rsid w:val="531B5950"/>
    <w:rsid w:val="537B63EF"/>
    <w:rsid w:val="53D37FD9"/>
    <w:rsid w:val="53F75B26"/>
    <w:rsid w:val="540168F4"/>
    <w:rsid w:val="541128AF"/>
    <w:rsid w:val="54362FC5"/>
    <w:rsid w:val="54470AD9"/>
    <w:rsid w:val="54596E3C"/>
    <w:rsid w:val="547277F2"/>
    <w:rsid w:val="547370C6"/>
    <w:rsid w:val="54F40207"/>
    <w:rsid w:val="55086607"/>
    <w:rsid w:val="55CE0A58"/>
    <w:rsid w:val="55D50038"/>
    <w:rsid w:val="55D87B28"/>
    <w:rsid w:val="55E0078B"/>
    <w:rsid w:val="56427760"/>
    <w:rsid w:val="564A7A04"/>
    <w:rsid w:val="564D4072"/>
    <w:rsid w:val="57144B90"/>
    <w:rsid w:val="571F152E"/>
    <w:rsid w:val="57342B3C"/>
    <w:rsid w:val="574B7E86"/>
    <w:rsid w:val="57B10631"/>
    <w:rsid w:val="57E75BFA"/>
    <w:rsid w:val="57EE31D2"/>
    <w:rsid w:val="580469B3"/>
    <w:rsid w:val="580F5357"/>
    <w:rsid w:val="581D5CC6"/>
    <w:rsid w:val="586F74D3"/>
    <w:rsid w:val="587241C0"/>
    <w:rsid w:val="58FA1B64"/>
    <w:rsid w:val="58FA6008"/>
    <w:rsid w:val="59002D7E"/>
    <w:rsid w:val="59545718"/>
    <w:rsid w:val="59BD79C5"/>
    <w:rsid w:val="5A7B6CD4"/>
    <w:rsid w:val="5A87203E"/>
    <w:rsid w:val="5ADF3486"/>
    <w:rsid w:val="5AE26D53"/>
    <w:rsid w:val="5B0F0D0E"/>
    <w:rsid w:val="5B2245E0"/>
    <w:rsid w:val="5B4B683B"/>
    <w:rsid w:val="5B4D241F"/>
    <w:rsid w:val="5B5E63DA"/>
    <w:rsid w:val="5B70435F"/>
    <w:rsid w:val="5B9C5154"/>
    <w:rsid w:val="5BBC75A4"/>
    <w:rsid w:val="5BE02385"/>
    <w:rsid w:val="5BE10DB9"/>
    <w:rsid w:val="5C796B90"/>
    <w:rsid w:val="5C8745EE"/>
    <w:rsid w:val="5CC6118C"/>
    <w:rsid w:val="5CD10E5A"/>
    <w:rsid w:val="5CFE60C6"/>
    <w:rsid w:val="5D3E7B72"/>
    <w:rsid w:val="5D3F223B"/>
    <w:rsid w:val="5D534272"/>
    <w:rsid w:val="5D6A375C"/>
    <w:rsid w:val="5DB72F61"/>
    <w:rsid w:val="5DED613B"/>
    <w:rsid w:val="5E2733FB"/>
    <w:rsid w:val="5E3B2A02"/>
    <w:rsid w:val="5E6E1DD7"/>
    <w:rsid w:val="5E880DCC"/>
    <w:rsid w:val="5E8C325E"/>
    <w:rsid w:val="5EAF6739"/>
    <w:rsid w:val="5EC450EE"/>
    <w:rsid w:val="5EDC2437"/>
    <w:rsid w:val="5F292EBA"/>
    <w:rsid w:val="5F33511B"/>
    <w:rsid w:val="5F37766E"/>
    <w:rsid w:val="5F403909"/>
    <w:rsid w:val="5F751F44"/>
    <w:rsid w:val="5FD17AC2"/>
    <w:rsid w:val="5FE3446D"/>
    <w:rsid w:val="5FE570CA"/>
    <w:rsid w:val="5FFC373B"/>
    <w:rsid w:val="60343BAD"/>
    <w:rsid w:val="60964844"/>
    <w:rsid w:val="60A06F83"/>
    <w:rsid w:val="60A54AAB"/>
    <w:rsid w:val="60D13AF2"/>
    <w:rsid w:val="61137C66"/>
    <w:rsid w:val="613A1697"/>
    <w:rsid w:val="614B11AE"/>
    <w:rsid w:val="61721BD1"/>
    <w:rsid w:val="618E553F"/>
    <w:rsid w:val="61A06617"/>
    <w:rsid w:val="61A86601"/>
    <w:rsid w:val="61AB60F1"/>
    <w:rsid w:val="61CD42B9"/>
    <w:rsid w:val="61FC06FB"/>
    <w:rsid w:val="621243C2"/>
    <w:rsid w:val="621E4B15"/>
    <w:rsid w:val="622540F5"/>
    <w:rsid w:val="624F1172"/>
    <w:rsid w:val="6295193C"/>
    <w:rsid w:val="6299063F"/>
    <w:rsid w:val="62B17737"/>
    <w:rsid w:val="62BD7122"/>
    <w:rsid w:val="62C21944"/>
    <w:rsid w:val="62D84CC4"/>
    <w:rsid w:val="62DB2A06"/>
    <w:rsid w:val="637B3250"/>
    <w:rsid w:val="63984453"/>
    <w:rsid w:val="639D7CBB"/>
    <w:rsid w:val="63A948B2"/>
    <w:rsid w:val="63B95C1F"/>
    <w:rsid w:val="63D3125A"/>
    <w:rsid w:val="63E553E6"/>
    <w:rsid w:val="63F024E1"/>
    <w:rsid w:val="63FF0976"/>
    <w:rsid w:val="64325BC5"/>
    <w:rsid w:val="647924D6"/>
    <w:rsid w:val="64C9520C"/>
    <w:rsid w:val="64DA5396"/>
    <w:rsid w:val="65836F26"/>
    <w:rsid w:val="65960E66"/>
    <w:rsid w:val="667854A7"/>
    <w:rsid w:val="66A55805"/>
    <w:rsid w:val="66CD5132"/>
    <w:rsid w:val="66FD392D"/>
    <w:rsid w:val="671D539B"/>
    <w:rsid w:val="672F4A82"/>
    <w:rsid w:val="67584625"/>
    <w:rsid w:val="675C316F"/>
    <w:rsid w:val="67785D16"/>
    <w:rsid w:val="67F373E2"/>
    <w:rsid w:val="685C0145"/>
    <w:rsid w:val="686B65DA"/>
    <w:rsid w:val="687A3773"/>
    <w:rsid w:val="687E455F"/>
    <w:rsid w:val="689773CF"/>
    <w:rsid w:val="68B5103C"/>
    <w:rsid w:val="68B65EDB"/>
    <w:rsid w:val="68B7181F"/>
    <w:rsid w:val="68F01944"/>
    <w:rsid w:val="690861D7"/>
    <w:rsid w:val="6939578E"/>
    <w:rsid w:val="695E7EED"/>
    <w:rsid w:val="69B144C0"/>
    <w:rsid w:val="69CA3FC5"/>
    <w:rsid w:val="6A6D118F"/>
    <w:rsid w:val="6B310E02"/>
    <w:rsid w:val="6B4849B1"/>
    <w:rsid w:val="6BAA11C7"/>
    <w:rsid w:val="6BAE0CB8"/>
    <w:rsid w:val="6C4D383B"/>
    <w:rsid w:val="6C5630FD"/>
    <w:rsid w:val="6C643A6C"/>
    <w:rsid w:val="6CA2647F"/>
    <w:rsid w:val="6CA67BE1"/>
    <w:rsid w:val="6CB57EBF"/>
    <w:rsid w:val="6CBB039E"/>
    <w:rsid w:val="6CD17894"/>
    <w:rsid w:val="6CDA788A"/>
    <w:rsid w:val="6D2838AC"/>
    <w:rsid w:val="6D53268A"/>
    <w:rsid w:val="6D566DCE"/>
    <w:rsid w:val="6D65184A"/>
    <w:rsid w:val="6DAC1227"/>
    <w:rsid w:val="6DBD6309"/>
    <w:rsid w:val="6DD864C0"/>
    <w:rsid w:val="6DDA6834"/>
    <w:rsid w:val="6E0F1318"/>
    <w:rsid w:val="6E1E08D1"/>
    <w:rsid w:val="6E201C15"/>
    <w:rsid w:val="6E2735D2"/>
    <w:rsid w:val="6E697118"/>
    <w:rsid w:val="6E70150D"/>
    <w:rsid w:val="6E922B12"/>
    <w:rsid w:val="6EB34837"/>
    <w:rsid w:val="6EE01601"/>
    <w:rsid w:val="6F295D2F"/>
    <w:rsid w:val="6F3516F0"/>
    <w:rsid w:val="6F455D89"/>
    <w:rsid w:val="6F54601A"/>
    <w:rsid w:val="6F9A6964"/>
    <w:rsid w:val="6FD809F9"/>
    <w:rsid w:val="70497201"/>
    <w:rsid w:val="70A66401"/>
    <w:rsid w:val="70BD7BEF"/>
    <w:rsid w:val="70BF5715"/>
    <w:rsid w:val="70E80BF0"/>
    <w:rsid w:val="711238F0"/>
    <w:rsid w:val="71186BD3"/>
    <w:rsid w:val="71211F2C"/>
    <w:rsid w:val="71397275"/>
    <w:rsid w:val="7189187F"/>
    <w:rsid w:val="71905B01"/>
    <w:rsid w:val="71AD37BF"/>
    <w:rsid w:val="71CB4872"/>
    <w:rsid w:val="71EA67C2"/>
    <w:rsid w:val="723E2669"/>
    <w:rsid w:val="728A2A85"/>
    <w:rsid w:val="72C2329A"/>
    <w:rsid w:val="72D134DE"/>
    <w:rsid w:val="72F1592E"/>
    <w:rsid w:val="72F316A6"/>
    <w:rsid w:val="730B1AB6"/>
    <w:rsid w:val="73171838"/>
    <w:rsid w:val="7327732B"/>
    <w:rsid w:val="73C92E8F"/>
    <w:rsid w:val="73D9089C"/>
    <w:rsid w:val="73FB6A64"/>
    <w:rsid w:val="74062284"/>
    <w:rsid w:val="74150423"/>
    <w:rsid w:val="7439758C"/>
    <w:rsid w:val="7447614D"/>
    <w:rsid w:val="744D11B3"/>
    <w:rsid w:val="74850A24"/>
    <w:rsid w:val="749F7A8A"/>
    <w:rsid w:val="74B1175D"/>
    <w:rsid w:val="74D4193F"/>
    <w:rsid w:val="74F00593"/>
    <w:rsid w:val="75657B33"/>
    <w:rsid w:val="757A67E9"/>
    <w:rsid w:val="758D4034"/>
    <w:rsid w:val="75952EE8"/>
    <w:rsid w:val="75BE5F9B"/>
    <w:rsid w:val="75E55C1E"/>
    <w:rsid w:val="75EA2CBA"/>
    <w:rsid w:val="761756AB"/>
    <w:rsid w:val="762070B4"/>
    <w:rsid w:val="76385029"/>
    <w:rsid w:val="76BA0E58"/>
    <w:rsid w:val="76D81B38"/>
    <w:rsid w:val="76E61C4D"/>
    <w:rsid w:val="77383B2B"/>
    <w:rsid w:val="77391A6B"/>
    <w:rsid w:val="77470212"/>
    <w:rsid w:val="77477116"/>
    <w:rsid w:val="776071AA"/>
    <w:rsid w:val="77731007"/>
    <w:rsid w:val="778D20C9"/>
    <w:rsid w:val="77B27C24"/>
    <w:rsid w:val="77EB5D0B"/>
    <w:rsid w:val="77F42148"/>
    <w:rsid w:val="780B7492"/>
    <w:rsid w:val="781E5417"/>
    <w:rsid w:val="782F13D2"/>
    <w:rsid w:val="7836450F"/>
    <w:rsid w:val="78761112"/>
    <w:rsid w:val="787B63C5"/>
    <w:rsid w:val="78A20480"/>
    <w:rsid w:val="78C412AF"/>
    <w:rsid w:val="78F85C68"/>
    <w:rsid w:val="79017442"/>
    <w:rsid w:val="790C1713"/>
    <w:rsid w:val="790F4D4D"/>
    <w:rsid w:val="792C76C0"/>
    <w:rsid w:val="794E7636"/>
    <w:rsid w:val="79583AAB"/>
    <w:rsid w:val="79AB4A6C"/>
    <w:rsid w:val="79C2131C"/>
    <w:rsid w:val="7A2860D9"/>
    <w:rsid w:val="7A460C55"/>
    <w:rsid w:val="7A792DD8"/>
    <w:rsid w:val="7AEA7832"/>
    <w:rsid w:val="7AF97A75"/>
    <w:rsid w:val="7B167964"/>
    <w:rsid w:val="7B203645"/>
    <w:rsid w:val="7B6018A2"/>
    <w:rsid w:val="7BBA0112"/>
    <w:rsid w:val="7C694787"/>
    <w:rsid w:val="7D4E40A8"/>
    <w:rsid w:val="7D5E0064"/>
    <w:rsid w:val="7D983576"/>
    <w:rsid w:val="7DAF72F5"/>
    <w:rsid w:val="7DBC4EC9"/>
    <w:rsid w:val="7DE60785"/>
    <w:rsid w:val="7DF764EE"/>
    <w:rsid w:val="7E132BFC"/>
    <w:rsid w:val="7E6D4A02"/>
    <w:rsid w:val="7E962325"/>
    <w:rsid w:val="7EAE57FC"/>
    <w:rsid w:val="7EC23286"/>
    <w:rsid w:val="7F1906E6"/>
    <w:rsid w:val="7F556C77"/>
    <w:rsid w:val="7F601E71"/>
    <w:rsid w:val="7FA32630"/>
    <w:rsid w:val="7FB81CAD"/>
    <w:rsid w:val="7FF25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样式 正文文本缩进 + 首行缩进:  2 字符 行距: 1.5 倍行距"/>
    <w:basedOn w:val="3"/>
    <w:qFormat/>
    <w:uiPriority w:val="0"/>
    <w:rPr>
      <w:rFonts w:cs="宋体"/>
    </w:rPr>
  </w:style>
  <w:style w:type="paragraph" w:customStyle="1" w:styleId="5">
    <w:name w:val="**正文"/>
    <w:basedOn w:val="1"/>
    <w:qFormat/>
    <w:uiPriority w:val="0"/>
    <w:pPr>
      <w:ind w:firstLine="482"/>
    </w:pPr>
    <w:rPr>
      <w:rFonts w:ascii="宋体" w:hAnsi="宋体"/>
      <w:sz w:val="24"/>
    </w:rPr>
  </w:style>
  <w:style w:type="paragraph" w:styleId="7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"/>
    <w:basedOn w:val="1"/>
    <w:qFormat/>
    <w:uiPriority w:val="99"/>
    <w:pPr>
      <w:widowControl w:val="0"/>
      <w:spacing w:after="120"/>
      <w:jc w:val="both"/>
    </w:pPr>
    <w:rPr>
      <w:rFonts w:ascii="Times New Roman" w:hAnsi="Times New Roman" w:cs="Times New Roman"/>
      <w:kern w:val="2"/>
      <w:sz w:val="21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qFormat/>
    <w:uiPriority w:val="99"/>
    <w:rPr>
      <w:rFonts w:cs="Times New Roman"/>
      <w:color w:val="0000FF"/>
      <w:u w:val="single"/>
    </w:rPr>
  </w:style>
  <w:style w:type="character" w:customStyle="1" w:styleId="17">
    <w:name w:val="font21"/>
    <w:basedOn w:val="15"/>
    <w:qFormat/>
    <w:uiPriority w:val="0"/>
    <w:rPr>
      <w:rFonts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8">
    <w:name w:val="font11"/>
    <w:basedOn w:val="15"/>
    <w:qFormat/>
    <w:uiPriority w:val="0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41"/>
    <w:basedOn w:val="15"/>
    <w:qFormat/>
    <w:uiPriority w:val="0"/>
    <w:rPr>
      <w:rFonts w:ascii="新宋体" w:hAnsi="新宋体" w:eastAsia="新宋体" w:cs="新宋体"/>
      <w:color w:val="000000"/>
      <w:sz w:val="21"/>
      <w:szCs w:val="21"/>
      <w:u w:val="none"/>
    </w:rPr>
  </w:style>
  <w:style w:type="character" w:customStyle="1" w:styleId="20">
    <w:name w:val="font51"/>
    <w:basedOn w:val="1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1">
    <w:name w:val="Table Paragraph"/>
    <w:basedOn w:val="1"/>
    <w:qFormat/>
    <w:uiPriority w:val="1"/>
    <w:pPr>
      <w:spacing w:before="146"/>
      <w:ind w:left="107"/>
    </w:pPr>
    <w:rPr>
      <w:rFonts w:ascii="Times New Roman" w:hAnsi="Times New Roman" w:eastAsia="Times New Roman" w:cs="Times New Roman"/>
    </w:rPr>
  </w:style>
  <w:style w:type="paragraph" w:customStyle="1" w:styleId="22">
    <w:name w:val="表格宋体小四"/>
    <w:basedOn w:val="1"/>
    <w:qFormat/>
    <w:uiPriority w:val="0"/>
    <w:pPr>
      <w:jc w:val="center"/>
    </w:pPr>
    <w:rPr>
      <w:rFonts w:ascii="宋体" w:hAnsi="宋体"/>
      <w:bCs/>
      <w:sz w:val="24"/>
    </w:rPr>
  </w:style>
  <w:style w:type="paragraph" w:customStyle="1" w:styleId="23">
    <w:name w:val="Table"/>
    <w:basedOn w:val="1"/>
    <w:qFormat/>
    <w:uiPriority w:val="0"/>
    <w:pPr>
      <w:keepLines/>
      <w:widowControl/>
      <w:spacing w:before="40" w:beforeLines="0" w:after="40" w:afterLines="0" w:line="320" w:lineRule="atLeast"/>
      <w:jc w:val="left"/>
    </w:pPr>
    <w:rPr>
      <w:rFonts w:ascii="Helvetica" w:hAnsi="Helvetica"/>
      <w:kern w:val="0"/>
      <w:sz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1788</Words>
  <Characters>2115</Characters>
  <Lines>17</Lines>
  <Paragraphs>4</Paragraphs>
  <TotalTime>7</TotalTime>
  <ScaleCrop>false</ScaleCrop>
  <LinksUpToDate>false</LinksUpToDate>
  <CharactersWithSpaces>2120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2023-03-24T09:36:00Z</dcterms:created>
  <dc:creator>Administrator</dc:creator>
  <cp:lastModifiedBy>舍＆得</cp:lastModifiedBy>
  <dcterms:modified xsi:type="dcterms:W3CDTF">2024-11-22T07:15:04Z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985DE64064AE4795A6C23E6FDDAF067A_13</vt:lpwstr>
  </property>
</Properties>
</file>